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png" ContentType="image/png"/>
  <Override PartName="/word/media/image2.png" ContentType="image/png"/>
  <Override PartName="/word/media/image3.png" ContentType="image/png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officedocument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ackground w:color="FFFFFF"/>
  <w:body>
    <w:p>
      <w:pPr>
        <w:pStyle w:val="Normal"/>
        <w:suppressAutoHyphens w:val="false"/>
        <w:spacing w:lineRule="atLeast" w:line="30"/>
        <w:jc w:val="end"/>
        <w:rPr>
          <w:rFonts w:ascii="Calibri" w:hAnsi="Calibri" w:eastAsia="Lucida Sans Unicode" w:cs="Calibri"/>
          <w:sz w:val="22"/>
          <w:szCs w:val="22"/>
        </w:rPr>
      </w:pPr>
      <w:r>
        <w:rPr>
          <w:rFonts w:eastAsia="Lucida Sans Unicode" w:cs="Calibri" w:ascii="Calibri" w:hAnsi="Calibri"/>
          <w:sz w:val="22"/>
          <w:szCs w:val="22"/>
        </w:rPr>
      </w:r>
    </w:p>
    <w:tbl>
      <w:tblPr>
        <w:tblW w:w="9211" w:type="dxa"/>
        <w:jc w:val="start"/>
        <w:tblInd w:w="66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1798"/>
        <w:gridCol w:w="7412"/>
      </w:tblGrid>
      <w:tr>
        <w:trPr/>
        <w:tc>
          <w:tcPr>
            <w:tcW w:w="9210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44"/>
                <w:szCs w:val="4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44"/>
                <w:szCs w:val="44"/>
              </w:rPr>
              <w:t>BUDYNEK - C</w:t>
            </w:r>
          </w:p>
        </w:tc>
      </w:tr>
      <w:tr>
        <w:trPr/>
        <w:tc>
          <w:tcPr>
            <w:tcW w:w="9210" w:type="dxa"/>
            <w:gridSpan w:val="2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30"/>
                <w:szCs w:val="30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30"/>
                <w:szCs w:val="30"/>
              </w:rPr>
              <w:t>CZĘŚĆ – II:  PROJEKT WYKONAWCZY</w:t>
            </w:r>
          </w:p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30"/>
                <w:szCs w:val="30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30"/>
                <w:szCs w:val="30"/>
              </w:rPr>
              <w:t>BRANŻY ELEKTRYCZNEJ</w:t>
            </w:r>
          </w:p>
        </w:tc>
      </w:tr>
      <w:tr>
        <w:trPr>
          <w:trHeight w:val="450" w:hRule="atLeast"/>
        </w:trPr>
        <w:tc>
          <w:tcPr>
            <w:tcW w:w="1798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NAZWA  INWESTYCJI</w:t>
            </w:r>
          </w:p>
        </w:tc>
        <w:tc>
          <w:tcPr>
            <w:tcW w:w="7412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Remont pomieszczeń dydaktycznych w budynku „B” i „C”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Zespołu Szkół Ponadpodstawowych Nr 2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Centrum Kształcenia Zawodowego im. T. Kościuszki w Łowiczu,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w ramach projektu pod nazwą: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</w:pPr>
            <w:r>
              <w:rPr>
                <w:rFonts w:cs="Arial" w:ascii="Arial" w:hAnsi="Arial"/>
                <w:sz w:val="24"/>
                <w:szCs w:val="24"/>
              </w:rPr>
              <w:t>„</w:t>
            </w:r>
            <w:r>
              <w:rPr>
                <w:rFonts w:cs="Arial" w:ascii="Arial" w:hAnsi="Arial"/>
                <w:sz w:val="24"/>
                <w:szCs w:val="24"/>
              </w:rPr>
              <w:t>Modernizacja pracowni warsztatowych do potrzeb zdobycia kwalifikacji branżowych na nowoczesnym rynku pracy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  <w:t>mechanizacji rolnictwa”</w:t>
            </w:r>
          </w:p>
        </w:tc>
      </w:tr>
      <w:tr>
        <w:trPr/>
        <w:tc>
          <w:tcPr>
            <w:tcW w:w="1798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ADRES INWESTYCJI</w:t>
            </w:r>
          </w:p>
        </w:tc>
        <w:tc>
          <w:tcPr>
            <w:tcW w:w="7412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FFFFFF" w:val="clear"/>
            <w:vAlign w:val="center"/>
          </w:tcPr>
          <w:p>
            <w:pPr>
              <w:pStyle w:val="Normal"/>
              <w:widowControl/>
              <w:suppressAutoHyphens w:val="true"/>
              <w:bidi w:val="0"/>
              <w:spacing w:lineRule="auto" w:line="276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sz w:val="24"/>
                <w:szCs w:val="24"/>
                <w:u w:val="no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sz w:val="24"/>
                <w:szCs w:val="24"/>
                <w:u w:val="none"/>
              </w:rPr>
              <w:t>ul. Blich 10, 99-400 Łowicz,</w:t>
            </w:r>
          </w:p>
          <w:p>
            <w:pPr>
              <w:pStyle w:val="Normal"/>
              <w:widowControl/>
              <w:suppressAutoHyphens w:val="true"/>
              <w:bidi w:val="0"/>
              <w:spacing w:lineRule="auto" w:line="276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sz w:val="24"/>
                <w:szCs w:val="24"/>
                <w:u w:val="no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sz w:val="24"/>
                <w:szCs w:val="24"/>
                <w:u w:val="none"/>
              </w:rPr>
              <w:t>dz. nr ewid. 1376/6, obręb: 0004 Korabka</w:t>
            </w:r>
          </w:p>
        </w:tc>
      </w:tr>
      <w:tr>
        <w:trPr/>
        <w:tc>
          <w:tcPr>
            <w:tcW w:w="1798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KATEGORIA BUDYNKU</w:t>
            </w:r>
          </w:p>
        </w:tc>
        <w:tc>
          <w:tcPr>
            <w:tcW w:w="7412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IX – budynki szkolne</w:t>
            </w:r>
          </w:p>
        </w:tc>
      </w:tr>
      <w:tr>
        <w:trPr/>
        <w:tc>
          <w:tcPr>
            <w:tcW w:w="1798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IDENTYFIKATOR</w:t>
            </w:r>
          </w:p>
        </w:tc>
        <w:tc>
          <w:tcPr>
            <w:tcW w:w="7412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100501_1.0004.1376/6</w:t>
            </w:r>
          </w:p>
        </w:tc>
      </w:tr>
      <w:tr>
        <w:trPr/>
        <w:tc>
          <w:tcPr>
            <w:tcW w:w="1798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ZAMAWIAJĄCY</w:t>
            </w:r>
          </w:p>
        </w:tc>
        <w:tc>
          <w:tcPr>
            <w:tcW w:w="7412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Powiat Łowicki,  ul. Stanisławskiego 30,  99-400 Łowicz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tbl>
      <w:tblPr>
        <w:tblW w:w="9246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1696"/>
        <w:gridCol w:w="6122"/>
        <w:gridCol w:w="1428"/>
      </w:tblGrid>
      <w:tr>
        <w:trPr/>
        <w:tc>
          <w:tcPr>
            <w:tcW w:w="9246" w:type="dxa"/>
            <w:gridSpan w:val="3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4"/>
                <w:szCs w:val="2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4"/>
                <w:szCs w:val="24"/>
              </w:rPr>
              <w:t>OPRACOWANIE</w:t>
            </w:r>
          </w:p>
        </w:tc>
      </w:tr>
      <w:tr>
        <w:trPr/>
        <w:tc>
          <w:tcPr>
            <w:tcW w:w="1696" w:type="dxa"/>
            <w:tcBorders>
              <w:start w:val="single" w:sz="2" w:space="0" w:color="000000"/>
              <w:bottom w:val="single" w:sz="2" w:space="0" w:color="000000"/>
            </w:tcBorders>
            <w:shd w:fill="666666" w:val="clea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BRANŻA</w:t>
            </w:r>
          </w:p>
        </w:tc>
        <w:tc>
          <w:tcPr>
            <w:tcW w:w="6122" w:type="dxa"/>
            <w:tcBorders>
              <w:start w:val="single" w:sz="2" w:space="0" w:color="000000"/>
              <w:bottom w:val="single" w:sz="2" w:space="0" w:color="000000"/>
            </w:tcBorders>
            <w:shd w:fill="666666" w:val="clea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PROJEKTANT</w:t>
            </w:r>
          </w:p>
        </w:tc>
        <w:tc>
          <w:tcPr>
            <w:tcW w:w="1428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PODPIS</w:t>
            </w:r>
          </w:p>
        </w:tc>
      </w:tr>
      <w:tr>
        <w:trPr/>
        <w:tc>
          <w:tcPr>
            <w:tcW w:w="1696" w:type="dxa"/>
            <w:vMerge w:val="restart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INSTALACJE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ELEKTRYCZNE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  <w:tc>
          <w:tcPr>
            <w:tcW w:w="6122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Projektant: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SEBASTIAN MICHTA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upr. bud. w spec. inst. elektrycznych  nr SWK/0174/PWOE/11</w:t>
            </w:r>
          </w:p>
        </w:tc>
        <w:tc>
          <w:tcPr>
            <w:tcW w:w="1428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1696" w:type="dxa"/>
            <w:vMerge w:val="continue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napToGrid w:val="false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  <w:tc>
          <w:tcPr>
            <w:tcW w:w="6122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Współpraca - opracowanie: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EWA PIOTROWICZ</w:t>
            </w:r>
          </w:p>
        </w:tc>
        <w:tc>
          <w:tcPr>
            <w:tcW w:w="1428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9246" w:type="dxa"/>
            <w:gridSpan w:val="3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4"/>
                <w:szCs w:val="2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4"/>
                <w:szCs w:val="24"/>
              </w:rPr>
              <w:t>DATA OPRACOWANIA: PAŹDZIERNIK – 2025r.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jc w:val="start"/>
        <w:rPr>
          <w:rFonts w:ascii="Arial" w:hAnsi="Arial" w:cs="Arial"/>
          <w:b/>
          <w:bCs/>
          <w:i/>
          <w:i/>
          <w:iCs/>
          <w:u w:val="single"/>
        </w:rPr>
      </w:pPr>
      <w:r>
        <w:rPr>
          <w:rFonts w:cs="Arial" w:ascii="Arial" w:hAnsi="Arial"/>
          <w:b/>
          <w:bCs/>
          <w:i/>
          <w:iCs/>
          <w:u w:val="single"/>
        </w:rPr>
        <w:t xml:space="preserve">EGZ. NR      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Heading1"/>
        <w:numPr>
          <w:ilvl w:val="0"/>
          <w:numId w:val="0"/>
        </w:numPr>
        <w:ind w:hanging="0" w:start="0" w:end="0"/>
        <w:jc w:val="start"/>
        <w:rPr>
          <w:rFonts w:ascii="Arial" w:hAnsi="Arial" w:cs="Arial"/>
        </w:rPr>
      </w:pPr>
      <w:r>
        <w:rPr>
          <w:rFonts w:cs="Arial"/>
        </w:rPr>
        <w:t xml:space="preserve">SPIS ZAWARTOŚCI </w:t>
      </w:r>
    </w:p>
    <w:sdt>
      <w:sdtPr>
        <w:docPartObj>
          <w:docPartGallery w:val="Table of Contents"/>
          <w:docPartUnique w:val="true"/>
        </w:docPartObj>
      </w:sdtPr>
      <w:sdtContent>
        <w:p>
          <w:pPr>
            <w:pStyle w:val="TOC1"/>
            <w:tabs>
              <w:tab w:val="clear" w:pos="708"/>
              <w:tab w:val="left" w:pos="440" w:leader="none"/>
              <w:tab w:val="right" w:pos="9060" w:leader="dot"/>
            </w:tabs>
            <w:rPr>
              <w:rFonts w:ascii="Arial" w:hAnsi="Arial" w:cs="Arial"/>
              <w:color w:val="auto"/>
              <w:sz w:val="20"/>
              <w:szCs w:val="20"/>
              <w:lang w:val="pl-PL" w:eastAsia="pl-PL"/>
            </w:rPr>
          </w:pPr>
          <w:r>
            <w:fldChar w:fldCharType="begin"/>
          </w:r>
          <w:r>
            <w:rPr>
              <w:sz w:val="20"/>
              <w:u w:val="single"/>
              <w:b w:val="false"/>
              <w:szCs w:val="20"/>
              <w:bCs w:val="false"/>
              <w:rFonts w:cs="Arial" w:ascii="Arial" w:hAnsi="Arial"/>
              <w:color w:val="auto"/>
              <w:lang w:val="pl-PL" w:eastAsia="pl-PL"/>
            </w:rPr>
            <w:instrText xml:space="preserve"> TOC \t "TB 1,1,TB 1.1,2" \h</w:instrText>
          </w:r>
          <w:r>
            <w:rPr>
              <w:sz w:val="20"/>
              <w:u w:val="single"/>
              <w:b w:val="false"/>
              <w:szCs w:val="20"/>
              <w:bCs w:val="false"/>
              <w:rFonts w:cs="Arial" w:ascii="Arial" w:hAnsi="Arial"/>
              <w:color w:val="auto"/>
              <w:lang w:val="pl-PL" w:eastAsia="pl-PL"/>
            </w:rPr>
            <w:fldChar w:fldCharType="separate"/>
          </w:r>
          <w:r>
            <w:rPr>
              <w:rFonts w:cs="Arial" w:ascii="Arial" w:hAnsi="Arial"/>
              <w:b w:val="false"/>
              <w:bCs w:val="false"/>
              <w:color w:val="auto"/>
              <w:sz w:val="20"/>
              <w:szCs w:val="20"/>
              <w:u w:val="single"/>
              <w:lang w:val="pl-PL" w:eastAsia="pl-PL"/>
            </w:rPr>
            <w:t>ZAŁĄCZONE DOKUMENTY</w:t>
          </w:r>
        </w:p>
        <w:p>
          <w:pPr>
            <w:pStyle w:val="TOC1"/>
            <w:tabs>
              <w:tab w:val="clear" w:pos="708"/>
              <w:tab w:val="left" w:pos="440" w:leader="none"/>
              <w:tab w:val="right" w:pos="9060" w:leader="dot"/>
            </w:tabs>
            <w:rPr>
              <w:rFonts w:ascii="Arial" w:hAnsi="Arial" w:cs="Arial"/>
              <w:color w:val="auto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color w:val="auto"/>
              <w:sz w:val="20"/>
              <w:szCs w:val="20"/>
              <w:lang w:val="pl-PL" w:eastAsia="pl-PL"/>
            </w:rPr>
            <w:t>1.</w:t>
          </w:r>
          <w:r>
            <w:rPr>
              <w:rFonts w:eastAsia="Times New Roman" w:cs="Arial" w:ascii="Arial" w:hAnsi="Arial"/>
              <w:b w:val="false"/>
              <w:bCs w:val="false"/>
              <w:caps w:val="false"/>
              <w:smallCaps w:val="false"/>
              <w:color w:val="auto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eastAsia="Times New Roman" w:cs="Arial" w:ascii="Arial" w:hAnsi="Arial"/>
              <w:b/>
              <w:bCs/>
              <w:caps w:val="false"/>
              <w:smallCaps w:val="false"/>
              <w:color w:val="auto"/>
              <w:kern w:val="2"/>
              <w:sz w:val="20"/>
              <w:szCs w:val="20"/>
              <w:u w:val="none"/>
              <w:lang w:val="pl-PL" w:eastAsia="pl-PL"/>
            </w:rPr>
            <w:t>DOKUMENTY PROJEKTANTA DOTYCZĄCE UPRAWNIEŃ I PRZYNALEŻNOŚCI DO IZBY</w:t>
          </w:r>
          <w:r>
            <w:rPr>
              <w:rFonts w:cs="Arial" w:ascii="Arial" w:hAnsi="Arial"/>
              <w:color w:val="auto"/>
              <w:sz w:val="20"/>
              <w:szCs w:val="20"/>
              <w:lang w:val="pl-PL" w:eastAsia="pl-PL"/>
            </w:rPr>
            <w:tab/>
            <w:t>3</w:t>
          </w:r>
        </w:p>
        <w:p>
          <w:pPr>
            <w:pStyle w:val="TOC1"/>
            <w:tabs>
              <w:tab w:val="clear" w:pos="708"/>
              <w:tab w:val="left" w:pos="440" w:leader="none"/>
              <w:tab w:val="right" w:pos="9060" w:leader="dot"/>
            </w:tabs>
            <w:rPr>
              <w:rFonts w:ascii="Arial" w:hAnsi="Arial" w:cs="Arial"/>
              <w:b w:val="false"/>
              <w:bCs w:val="false"/>
              <w:color w:val="auto"/>
              <w:sz w:val="20"/>
              <w:szCs w:val="20"/>
              <w:u w:val="single"/>
              <w:lang w:val="pl-PL" w:eastAsia="pl-PL"/>
            </w:rPr>
          </w:pPr>
          <w:r>
            <w:rPr>
              <w:rFonts w:cs="Arial" w:ascii="Arial" w:hAnsi="Arial"/>
              <w:color w:val="auto"/>
              <w:sz w:val="20"/>
              <w:szCs w:val="20"/>
              <w:lang w:val="pl-PL" w:eastAsia="pl-PL"/>
            </w:rPr>
            <w:t>2.</w:t>
          </w:r>
          <w:r>
            <w:rPr>
              <w:rFonts w:eastAsia="Times New Roman" w:cs="Arial" w:ascii="Arial" w:hAnsi="Arial"/>
              <w:b w:val="false"/>
              <w:bCs w:val="false"/>
              <w:caps w:val="false"/>
              <w:smallCaps w:val="false"/>
              <w:color w:val="auto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eastAsia="Times New Roman" w:cs="Arial" w:ascii="Arial" w:hAnsi="Arial"/>
              <w:b/>
              <w:bCs/>
              <w:caps w:val="false"/>
              <w:smallCaps w:val="false"/>
              <w:color w:val="auto"/>
              <w:kern w:val="2"/>
              <w:sz w:val="20"/>
              <w:szCs w:val="20"/>
              <w:lang w:val="pl-PL" w:eastAsia="pl-PL"/>
            </w:rPr>
            <w:t>OŚWIADCZENIE PROJEKTANTA</w:t>
          </w:r>
          <w:r>
            <w:rPr>
              <w:rFonts w:cs="Arial" w:ascii="Arial" w:hAnsi="Arial"/>
              <w:color w:val="auto"/>
              <w:sz w:val="20"/>
              <w:szCs w:val="20"/>
              <w:lang w:val="pl-PL" w:eastAsia="pl-PL"/>
            </w:rPr>
            <w:tab/>
            <w:t>6</w:t>
          </w:r>
        </w:p>
        <w:p>
          <w:pPr>
            <w:pStyle w:val="TOC1"/>
            <w:tabs>
              <w:tab w:val="clear" w:pos="708"/>
              <w:tab w:val="left" w:pos="440" w:leader="none"/>
              <w:tab w:val="right" w:pos="9060" w:leader="dot"/>
            </w:tabs>
            <w:rPr>
              <w:rFonts w:ascii="Arial" w:hAnsi="Arial" w:cs="Arial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b w:val="false"/>
              <w:bCs w:val="false"/>
              <w:color w:val="auto"/>
              <w:sz w:val="20"/>
              <w:szCs w:val="20"/>
              <w:u w:val="single"/>
              <w:lang w:val="pl-PL" w:eastAsia="pl-PL"/>
            </w:rPr>
            <w:t>CZĘŚĆ OPISOWA – OPIS TECHNICZNY</w:t>
          </w:r>
          <w:r>
            <w:rPr>
              <w:rFonts w:cs="Arial" w:ascii="Arial" w:hAnsi="Arial"/>
              <w:b w:val="false"/>
              <w:sz w:val="20"/>
              <w:szCs w:val="20"/>
              <w:lang w:val="pl-PL" w:eastAsia="pl-PL"/>
            </w:rPr>
            <w:tab/>
            <w:t>7</w:t>
          </w:r>
        </w:p>
        <w:p>
          <w:pPr>
            <w:pStyle w:val="TOC1"/>
            <w:tabs>
              <w:tab w:val="clear" w:pos="708"/>
              <w:tab w:val="left" w:pos="440" w:leader="none"/>
              <w:tab w:val="right" w:pos="9060" w:leader="dot"/>
            </w:tabs>
            <w:rPr>
              <w:rFonts w:ascii="Arial" w:hAnsi="Arial" w:cs="Arial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sz w:val="20"/>
              <w:szCs w:val="20"/>
              <w:lang w:val="pl-PL" w:eastAsia="pl-PL"/>
            </w:rPr>
            <w:t>1.</w:t>
          </w:r>
          <w:r>
            <w:rPr>
              <w:rFonts w:eastAsia="Times New Roman" w:cs="Arial" w:ascii="Arial" w:hAnsi="Arial"/>
              <w:b w:val="false"/>
              <w:bCs w:val="false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Przedmiot opracowania</w:t>
            <w:tab/>
            <w:t>7</w:t>
          </w:r>
        </w:p>
        <w:p>
          <w:pPr>
            <w:pStyle w:val="TOC1"/>
            <w:tabs>
              <w:tab w:val="clear" w:pos="708"/>
              <w:tab w:val="left" w:pos="440" w:leader="none"/>
              <w:tab w:val="right" w:pos="9060" w:leader="dot"/>
            </w:tabs>
            <w:rPr>
              <w:rFonts w:ascii="Arial" w:hAnsi="Arial" w:cs="Arial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sz w:val="20"/>
              <w:szCs w:val="20"/>
              <w:lang w:val="pl-PL" w:eastAsia="pl-PL"/>
            </w:rPr>
            <w:t>2.</w:t>
          </w:r>
          <w:r>
            <w:rPr>
              <w:rFonts w:eastAsia="Times New Roman" w:cs="Arial" w:ascii="Arial" w:hAnsi="Arial"/>
              <w:b w:val="false"/>
              <w:bCs w:val="false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Podstawa opracowania</w:t>
            <w:tab/>
            <w:t>7</w:t>
          </w:r>
        </w:p>
        <w:p>
          <w:pPr>
            <w:pStyle w:val="TOC1"/>
            <w:tabs>
              <w:tab w:val="clear" w:pos="708"/>
              <w:tab w:val="left" w:pos="440" w:leader="none"/>
              <w:tab w:val="right" w:pos="9060" w:leader="dot"/>
            </w:tabs>
            <w:rPr>
              <w:rFonts w:ascii="Arial" w:hAnsi="Arial" w:cs="Arial"/>
              <w:color w:val="000000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sz w:val="20"/>
              <w:szCs w:val="20"/>
              <w:lang w:val="pl-PL" w:eastAsia="pl-PL"/>
            </w:rPr>
            <w:t>3.</w:t>
          </w:r>
          <w:r>
            <w:rPr>
              <w:rFonts w:eastAsia="Times New Roman" w:cs="Arial" w:ascii="Arial" w:hAnsi="Arial"/>
              <w:b w:val="false"/>
              <w:bCs w:val="false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Opis stanu projektowanego</w:t>
            <w:tab/>
            <w:t>7</w:t>
          </w:r>
        </w:p>
        <w:p>
          <w:pPr>
            <w:pStyle w:val="TOC2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olor w:val="000000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color w:val="000000"/>
              <w:sz w:val="20"/>
              <w:szCs w:val="20"/>
              <w:lang w:val="pl-PL" w:eastAsia="pl-PL"/>
            </w:rPr>
            <w:t>3.1.</w:t>
          </w:r>
          <w:r>
            <w:rPr>
              <w:rFonts w:eastAsia="Times New Roman" w:cs="Arial" w:ascii="Arial" w:hAnsi="Arial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Zakres opracowania</w:t>
            <w:tab/>
            <w:t>8</w:t>
          </w:r>
        </w:p>
        <w:p>
          <w:pPr>
            <w:pStyle w:val="TOC2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olor w:val="000000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color w:val="000000"/>
              <w:sz w:val="20"/>
              <w:szCs w:val="20"/>
              <w:lang w:val="pl-PL" w:eastAsia="pl-PL"/>
            </w:rPr>
            <w:t>3.2.</w:t>
          </w:r>
          <w:r>
            <w:rPr>
              <w:rFonts w:eastAsia="Times New Roman" w:cs="Arial" w:ascii="Arial" w:hAnsi="Arial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Zasilanie, WLZ</w:t>
            <w:tab/>
            <w:t>8</w:t>
          </w:r>
        </w:p>
        <w:p>
          <w:pPr>
            <w:pStyle w:val="TOC2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olor w:val="000000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color w:val="000000"/>
              <w:sz w:val="20"/>
              <w:szCs w:val="20"/>
              <w:lang w:val="pl-PL" w:eastAsia="pl-PL"/>
            </w:rPr>
            <w:t>3.3.</w:t>
          </w:r>
          <w:r>
            <w:rPr>
              <w:rFonts w:eastAsia="Times New Roman" w:cs="Arial" w:ascii="Arial" w:hAnsi="Arial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Instalacja gniazd wtyczkowych</w:t>
            <w:tab/>
            <w:t>8</w:t>
          </w:r>
        </w:p>
        <w:p>
          <w:pPr>
            <w:pStyle w:val="TOC2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olor w:val="000000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color w:val="000000"/>
              <w:sz w:val="20"/>
              <w:szCs w:val="20"/>
              <w:lang w:val="pl-PL" w:eastAsia="pl-PL"/>
            </w:rPr>
            <w:t>3.4.</w:t>
          </w:r>
          <w:r>
            <w:rPr>
              <w:rFonts w:eastAsia="Times New Roman" w:cs="Arial" w:ascii="Arial" w:hAnsi="Arial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Instalacja  oświetleniowa</w:t>
            <w:tab/>
            <w:t>9</w:t>
          </w:r>
        </w:p>
        <w:p>
          <w:pPr>
            <w:pStyle w:val="TOC2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olor w:val="000000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color w:val="000000"/>
              <w:sz w:val="20"/>
              <w:szCs w:val="20"/>
              <w:lang w:val="pl-PL" w:eastAsia="pl-PL"/>
            </w:rPr>
            <w:t>3.5.</w:t>
          </w:r>
          <w:r>
            <w:rPr>
              <w:rFonts w:eastAsia="Times New Roman" w:cs="Arial" w:ascii="Arial" w:hAnsi="Arial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Ochrona przepięciowa</w:t>
            <w:tab/>
            <w:t>11</w:t>
          </w:r>
        </w:p>
        <w:p>
          <w:pPr>
            <w:pStyle w:val="TOC2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olor w:val="000000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color w:val="000000"/>
              <w:sz w:val="20"/>
              <w:szCs w:val="20"/>
              <w:lang w:val="pl-PL" w:eastAsia="pl-PL"/>
            </w:rPr>
            <w:t>3.6.</w:t>
          </w:r>
          <w:r>
            <w:rPr>
              <w:rFonts w:eastAsia="Times New Roman" w:cs="Arial" w:ascii="Arial" w:hAnsi="Arial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Ochrona przeciwporażeniowa</w:t>
            <w:tab/>
            <w:t>11</w:t>
          </w:r>
        </w:p>
        <w:p>
          <w:pPr>
            <w:pStyle w:val="TOC2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olor w:val="000000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color w:val="000000"/>
              <w:sz w:val="20"/>
              <w:szCs w:val="20"/>
              <w:lang w:val="pl-PL" w:eastAsia="pl-PL"/>
            </w:rPr>
            <w:t>3.7.</w:t>
          </w:r>
          <w:r>
            <w:rPr>
              <w:rFonts w:eastAsia="Times New Roman" w:cs="Arial" w:ascii="Arial" w:hAnsi="Arial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Połączenia wyrównawcze</w:t>
            <w:tab/>
            <w:t>11</w:t>
          </w:r>
        </w:p>
        <w:p>
          <w:pPr>
            <w:pStyle w:val="TOC2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olor w:val="000000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color w:val="000000"/>
              <w:sz w:val="20"/>
              <w:szCs w:val="20"/>
              <w:lang w:val="pl-PL" w:eastAsia="pl-PL"/>
            </w:rPr>
            <w:t>3.8.</w:t>
          </w:r>
          <w:r>
            <w:rPr>
              <w:rFonts w:eastAsia="Times New Roman" w:cs="Arial" w:ascii="Arial" w:hAnsi="Arial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Prowadzenie kabli i przewodów</w:t>
            <w:tab/>
            <w:t>11</w:t>
          </w:r>
        </w:p>
        <w:p>
          <w:pPr>
            <w:pStyle w:val="TOC2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olor w:val="000000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color w:val="000000"/>
              <w:sz w:val="20"/>
              <w:szCs w:val="20"/>
              <w:lang w:val="pl-PL" w:eastAsia="pl-PL"/>
            </w:rPr>
            <w:t>3.9.</w:t>
          </w:r>
          <w:r>
            <w:rPr>
              <w:rFonts w:eastAsia="Times New Roman" w:cs="Arial" w:ascii="Arial" w:hAnsi="Arial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Instalacja strukturalna</w:t>
            <w:tab/>
            <w:t>12</w:t>
          </w:r>
        </w:p>
        <w:p>
          <w:pPr>
            <w:pStyle w:val="TOC2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color w:val="000000"/>
              <w:sz w:val="20"/>
              <w:szCs w:val="20"/>
              <w:lang w:val="pl-PL" w:eastAsia="pl-PL"/>
            </w:rPr>
            <w:t>3.10.</w:t>
          </w:r>
          <w:r>
            <w:rPr>
              <w:rFonts w:eastAsia="Times New Roman" w:cs="Arial" w:ascii="Arial" w:hAnsi="Arial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pomiary powykonawcze i kontrola instalacji</w:t>
            <w:tab/>
            <w:t>12</w:t>
          </w:r>
        </w:p>
        <w:p>
          <w:pPr>
            <w:pStyle w:val="TOC1"/>
            <w:tabs>
              <w:tab w:val="clear" w:pos="708"/>
              <w:tab w:val="left" w:pos="440" w:leader="none"/>
              <w:tab w:val="right" w:pos="9060" w:leader="dot"/>
            </w:tabs>
            <w:rPr>
              <w:rFonts w:ascii="Arial" w:hAnsi="Arial" w:cs="Arial"/>
              <w:caps w:val="false"/>
              <w:smallCaps w:val="false"/>
              <w:sz w:val="20"/>
              <w:szCs w:val="20"/>
              <w:u w:val="single"/>
              <w:lang w:val="pl-PL" w:eastAsia="pl-PL"/>
            </w:rPr>
          </w:pPr>
          <w:r>
            <w:rPr>
              <w:rFonts w:cs="Arial" w:ascii="Arial" w:hAnsi="Arial"/>
              <w:sz w:val="20"/>
              <w:szCs w:val="20"/>
              <w:lang w:val="pl-PL" w:eastAsia="pl-PL"/>
            </w:rPr>
            <w:t>4.</w:t>
          </w:r>
          <w:r>
            <w:rPr>
              <w:rFonts w:eastAsia="Times New Roman" w:cs="Arial" w:ascii="Arial" w:hAnsi="Arial"/>
              <w:b w:val="false"/>
              <w:bCs w:val="false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Uwagi końcowe</w:t>
            <w:tab/>
            <w:t>13</w:t>
          </w:r>
        </w:p>
        <w:p>
          <w:pPr>
            <w:pStyle w:val="Normal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aps w:val="false"/>
              <w:smallCaps w:val="false"/>
              <w:sz w:val="18"/>
              <w:szCs w:val="18"/>
              <w:lang w:val="pl-PL" w:eastAsia="pl-PL"/>
            </w:rPr>
          </w:pPr>
          <w:r>
            <w:rPr>
              <w:rFonts w:cs="Arial" w:ascii="Arial" w:hAnsi="Arial"/>
              <w:caps w:val="false"/>
              <w:smallCaps w:val="false"/>
              <w:sz w:val="20"/>
              <w:szCs w:val="20"/>
              <w:u w:val="single"/>
              <w:lang w:val="pl-PL" w:eastAsia="pl-PL"/>
            </w:rPr>
            <w:t>CZĘŚĆ RYSUNKOWA</w:t>
          </w:r>
        </w:p>
        <w:p>
          <w:pPr>
            <w:pStyle w:val="Normal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aps w:val="false"/>
              <w:smallCaps w:val="false"/>
              <w:sz w:val="18"/>
              <w:szCs w:val="18"/>
              <w:lang w:val="pl-PL" w:eastAsia="pl-PL"/>
            </w:rPr>
          </w:pPr>
          <w:r>
            <w:rPr>
              <w:rFonts w:cs="Arial" w:ascii="Arial" w:hAnsi="Arial"/>
              <w:caps w:val="false"/>
              <w:smallCaps w:val="false"/>
              <w:sz w:val="18"/>
              <w:szCs w:val="18"/>
              <w:lang w:val="pl-PL" w:eastAsia="pl-PL"/>
            </w:rPr>
            <w:t>1. EZ – ZASILANIE TR</w:t>
          </w:r>
        </w:p>
        <w:p>
          <w:pPr>
            <w:pStyle w:val="Normal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aps w:val="false"/>
              <w:smallCaps w:val="false"/>
              <w:sz w:val="18"/>
              <w:szCs w:val="18"/>
              <w:lang w:val="pl-PL" w:eastAsia="pl-PL"/>
            </w:rPr>
          </w:pPr>
          <w:r>
            <w:rPr>
              <w:rFonts w:cs="Arial" w:ascii="Arial" w:hAnsi="Arial"/>
              <w:caps w:val="false"/>
              <w:smallCaps w:val="false"/>
              <w:sz w:val="18"/>
              <w:szCs w:val="18"/>
              <w:lang w:val="pl-PL" w:eastAsia="pl-PL"/>
            </w:rPr>
            <w:t>2. E1 – PRACOWNIA AGROTRONIKI II (AG II) – RZUT PODSTAWOWY</w:t>
          </w:r>
        </w:p>
        <w:p>
          <w:pPr>
            <w:pStyle w:val="Normal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aps w:val="false"/>
              <w:smallCaps w:val="false"/>
              <w:sz w:val="18"/>
              <w:szCs w:val="18"/>
              <w:lang w:val="pl-PL" w:eastAsia="pl-PL"/>
            </w:rPr>
          </w:pPr>
          <w:r>
            <w:rPr>
              <w:rFonts w:cs="Arial" w:ascii="Arial" w:hAnsi="Arial"/>
              <w:caps w:val="false"/>
              <w:smallCaps w:val="false"/>
              <w:sz w:val="18"/>
              <w:szCs w:val="18"/>
              <w:lang w:val="pl-PL" w:eastAsia="pl-PL"/>
            </w:rPr>
            <w:t>3. E2 – PRAC. ROLN. PRECYZYJNEGO (RLP) I ŚLUSARNIA (SL) – RZUT PODSTAWOWY</w:t>
          </w:r>
        </w:p>
        <w:p>
          <w:pPr>
            <w:pStyle w:val="Normal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aps w:val="false"/>
              <w:smallCaps w:val="false"/>
              <w:sz w:val="18"/>
              <w:szCs w:val="18"/>
              <w:lang w:val="pl-PL" w:eastAsia="pl-PL"/>
            </w:rPr>
          </w:pPr>
          <w:r>
            <w:rPr>
              <w:rFonts w:cs="Arial" w:ascii="Arial" w:hAnsi="Arial"/>
              <w:caps w:val="false"/>
              <w:smallCaps w:val="false"/>
              <w:sz w:val="18"/>
              <w:szCs w:val="18"/>
              <w:lang w:val="pl-PL" w:eastAsia="pl-PL"/>
            </w:rPr>
            <w:t>4. E3 – SPAWALNIA (SP-A) Z MAGAZYNKIEM (SP-B) – RZUT PODSTAWOWY</w:t>
          </w:r>
        </w:p>
        <w:p>
          <w:pPr>
            <w:pStyle w:val="Normal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aps w:val="false"/>
              <w:smallCaps w:val="false"/>
              <w:sz w:val="18"/>
              <w:szCs w:val="18"/>
              <w:lang w:val="pl-PL" w:eastAsia="pl-PL"/>
            </w:rPr>
          </w:pPr>
          <w:r>
            <w:rPr>
              <w:rFonts w:cs="Arial" w:ascii="Arial" w:hAnsi="Arial"/>
              <w:caps w:val="false"/>
              <w:smallCaps w:val="false"/>
              <w:sz w:val="18"/>
              <w:szCs w:val="18"/>
              <w:lang w:val="pl-PL" w:eastAsia="pl-PL"/>
            </w:rPr>
            <w:t>5. E4 – SCHEMAT ROZDZIELNI TR-1 (AG II)</w:t>
          </w:r>
        </w:p>
        <w:p>
          <w:pPr>
            <w:pStyle w:val="Normal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aps w:val="false"/>
              <w:smallCaps w:val="false"/>
              <w:sz w:val="18"/>
              <w:szCs w:val="18"/>
              <w:lang w:val="pl-PL" w:eastAsia="pl-PL"/>
            </w:rPr>
          </w:pPr>
          <w:r>
            <w:rPr>
              <w:rFonts w:cs="Arial" w:ascii="Arial" w:hAnsi="Arial"/>
              <w:caps w:val="false"/>
              <w:smallCaps w:val="false"/>
              <w:sz w:val="18"/>
              <w:szCs w:val="18"/>
              <w:lang w:val="pl-PL" w:eastAsia="pl-PL"/>
            </w:rPr>
            <w:t>6. E5 – SCHEMAT ROZDZIELNI TR-2  (RLP)</w:t>
          </w:r>
        </w:p>
        <w:p>
          <w:pPr>
            <w:pStyle w:val="Normal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aps w:val="false"/>
              <w:smallCaps w:val="false"/>
              <w:sz w:val="18"/>
              <w:szCs w:val="18"/>
              <w:lang w:val="pl-PL" w:eastAsia="pl-PL"/>
            </w:rPr>
          </w:pPr>
          <w:r>
            <w:rPr>
              <w:rFonts w:cs="Arial" w:ascii="Arial" w:hAnsi="Arial"/>
              <w:caps w:val="false"/>
              <w:smallCaps w:val="false"/>
              <w:sz w:val="18"/>
              <w:szCs w:val="18"/>
              <w:lang w:val="pl-PL" w:eastAsia="pl-PL"/>
            </w:rPr>
            <w:t>7. E6 – SCHEMAT ROZDZIELNI TR-3 (SL)</w:t>
          </w:r>
        </w:p>
        <w:p>
          <w:pPr>
            <w:pStyle w:val="Normal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aps w:val="false"/>
              <w:smallCaps w:val="false"/>
              <w:sz w:val="18"/>
              <w:szCs w:val="18"/>
              <w:lang w:val="pl-PL" w:eastAsia="pl-PL"/>
            </w:rPr>
          </w:pPr>
          <w:r>
            <w:rPr>
              <w:rFonts w:cs="Arial" w:ascii="Arial" w:hAnsi="Arial"/>
              <w:caps w:val="false"/>
              <w:smallCaps w:val="false"/>
              <w:sz w:val="18"/>
              <w:szCs w:val="18"/>
              <w:lang w:val="pl-PL" w:eastAsia="pl-PL"/>
            </w:rPr>
            <w:t>8. E7 – SCHEMAT ROZDZIELNI TR-4 (SP)</w:t>
          </w:r>
        </w:p>
        <w:p>
          <w:pPr>
            <w:pStyle w:val="Normal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aps w:val="false"/>
              <w:smallCaps w:val="false"/>
              <w:sz w:val="18"/>
              <w:szCs w:val="18"/>
              <w:lang w:val="pl-PL" w:eastAsia="pl-PL"/>
            </w:rPr>
          </w:pPr>
          <w:r>
            <w:rPr>
              <w:rFonts w:cs="Arial" w:ascii="Arial" w:hAnsi="Arial"/>
              <w:caps w:val="false"/>
              <w:smallCaps w:val="false"/>
              <w:sz w:val="18"/>
              <w:szCs w:val="18"/>
              <w:lang w:val="pl-PL" w:eastAsia="pl-PL"/>
            </w:rPr>
            <w:t>9. E8 – SZAFA RACK</w:t>
          </w:r>
          <w:r>
            <w:rPr>
              <w:smallCaps w:val="false"/>
              <w:caps w:val="false"/>
              <w:sz w:val="18"/>
              <w:szCs w:val="18"/>
              <w:rFonts w:cs="Arial" w:ascii="Arial" w:hAnsi="Arial"/>
              <w:lang w:val="pl-PL" w:eastAsia="pl-PL"/>
            </w:rPr>
            <w:fldChar w:fldCharType="end"/>
          </w:r>
        </w:p>
      </w:sdtContent>
    </w:sdt>
    <w:p>
      <w:pPr>
        <w:pStyle w:val="Heading1"/>
        <w:numPr>
          <w:ilvl w:val="0"/>
          <w:numId w:val="1"/>
        </w:numPr>
        <w:tabs>
          <w:tab w:val="clear" w:pos="708"/>
          <w:tab w:val="left" w:pos="960" w:leader="none"/>
          <w:tab w:val="right" w:pos="9060" w:leader="dot"/>
        </w:tabs>
        <w:ind w:hanging="0" w:start="0" w:end="0"/>
        <w:jc w:val="start"/>
        <w:rPr>
          <w:rFonts w:ascii="Arial" w:hAnsi="Arial" w:eastAsia="Calibri" w:cs="Arial"/>
          <w:smallCaps/>
          <w:kern w:val="2"/>
          <w:sz w:val="24"/>
          <w:szCs w:val="24"/>
          <w:lang w:val="pl-PL" w:eastAsia="pl-PL"/>
        </w:rPr>
      </w:pPr>
      <w:r>
        <w:rPr>
          <w:rFonts w:eastAsia="Calibri" w:cs="Arial"/>
          <w:smallCaps/>
          <w:kern w:val="2"/>
          <w:sz w:val="24"/>
          <w:szCs w:val="24"/>
          <w:lang w:val="pl-PL" w:eastAsia="pl-PL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u w:val="single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u w:val="single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u w:val="single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u w:val="single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u w:val="single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u w:val="single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u w:val="single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u w:val="single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u w:val="single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u w:val="single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u w:val="single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u w:val="single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z w:val="24"/>
          <w:szCs w:val="24"/>
          <w:u w:val="single"/>
          <w:lang w:val="de-DE" w:eastAsia="ar-SA"/>
        </w:rPr>
      </w:pPr>
      <w:r>
        <w:rPr>
          <w:rFonts w:eastAsia="Calibri" w:cs="Arial" w:ascii="Arial" w:hAnsi="Arial"/>
          <w:sz w:val="24"/>
          <w:szCs w:val="24"/>
          <w:u w:val="single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z w:val="24"/>
          <w:szCs w:val="24"/>
          <w:u w:val="single"/>
          <w:lang w:val="de-DE" w:eastAsia="ar-SA"/>
        </w:rPr>
      </w:pPr>
      <w:r>
        <w:rPr>
          <w:rFonts w:eastAsia="Calibri" w:cs="Arial" w:ascii="Arial" w:hAnsi="Arial"/>
          <w:sz w:val="24"/>
          <w:szCs w:val="24"/>
          <w:u w:val="single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z w:val="24"/>
          <w:szCs w:val="24"/>
          <w:u w:val="single"/>
          <w:lang w:val="de-DE" w:eastAsia="ar-SA"/>
        </w:rPr>
      </w:pPr>
      <w:r>
        <w:rPr>
          <w:rFonts w:eastAsia="Calibri" w:cs="Arial" w:ascii="Arial" w:hAnsi="Arial"/>
          <w:sz w:val="24"/>
          <w:szCs w:val="24"/>
          <w:u w:val="single"/>
          <w:lang w:val="de-DE" w:eastAsia="ar-SA"/>
        </w:rPr>
        <w:t>Obraz 1.1. Kopia dokumentu - uprawnienia projektanta.</w:t>
      </w:r>
    </w:p>
    <w:p>
      <w:pPr>
        <w:pStyle w:val="Normal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24855" cy="8248015"/>
            <wp:effectExtent l="0" t="0" r="0" b="0"/>
            <wp:wrapSquare wrapText="largest"/>
            <wp:docPr id="1" name="Obraz1" descr="" title="Kopia uprawnień budowlanych projektanta Sebastiana J. Michta - str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1" descr="" title="Kopia uprawnień budowlanych projektanta Sebastiana J. Michta - str.1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-91" t="-64" r="-91" b="-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4855" cy="8248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spacing w:lineRule="auto" w:line="240"/>
        <w:rPr>
          <w:rFonts w:ascii="Arial" w:hAnsi="Arial" w:cs="Arial"/>
          <w:b/>
          <w:bCs/>
          <w:sz w:val="24"/>
          <w:szCs w:val="24"/>
        </w:rPr>
      </w:pPr>
      <w:r>
        <w:rPr>
          <w:rFonts w:eastAsia="Calibri" w:cs="Arial" w:ascii="Arial" w:hAnsi="Arial"/>
          <w:sz w:val="24"/>
          <w:szCs w:val="24"/>
          <w:u w:val="single"/>
          <w:lang w:val="de-DE" w:eastAsia="ar-SA"/>
        </w:rPr>
        <w:t>Obraz 1.2. Kopia dokumentu - uprawnienia projektanta.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24855" cy="8248015"/>
            <wp:effectExtent l="0" t="0" r="0" b="0"/>
            <wp:wrapSquare wrapText="largest"/>
            <wp:docPr id="2" name="Obraz2" descr="" title="Kopia uprawnień budowlanych projektanta Sebastiana J. Michta - str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2" descr="" title="Kopia uprawnień budowlanych projektanta Sebastiana J. Michta - str.2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-91" t="-64" r="-91" b="-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4855" cy="8248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lineRule="auto" w:line="240"/>
        <w:rPr>
          <w:rFonts w:ascii="Arial" w:hAnsi="Arial" w:eastAsia="Calibri" w:cs="Arial"/>
          <w:sz w:val="24"/>
          <w:szCs w:val="24"/>
          <w:lang w:val="de-DE" w:eastAsia="ar-SA"/>
        </w:rPr>
      </w:pPr>
      <w:r>
        <w:rPr>
          <w:rFonts w:eastAsia="Calibri" w:cs="Arial" w:ascii="Arial" w:hAnsi="Arial"/>
          <w:sz w:val="24"/>
          <w:szCs w:val="24"/>
          <w:u w:val="single"/>
          <w:lang w:val="de-DE" w:eastAsia="ar-SA"/>
        </w:rPr>
        <w:t>Obraz 2. Kopia dokumentu – przynależność do izby zawodowej projektanta.</w:t>
      </w:r>
    </w:p>
    <w:p>
      <w:pPr>
        <w:pStyle w:val="Normal"/>
        <w:spacing w:lineRule="auto" w:line="240"/>
        <w:rPr>
          <w:rFonts w:ascii="Arial" w:hAnsi="Arial" w:eastAsia="Calibri" w:cs="Arial"/>
          <w:sz w:val="24"/>
          <w:szCs w:val="24"/>
          <w:lang w:val="de-DE" w:eastAsia="ar-SA"/>
        </w:rPr>
      </w:pPr>
      <w:r>
        <w:rPr>
          <w:rFonts w:eastAsia="Calibri" w:cs="Arial" w:ascii="Arial" w:hAnsi="Arial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z w:val="24"/>
          <w:szCs w:val="24"/>
          <w:lang w:val="de-DE" w:eastAsia="ar-SA"/>
        </w:rPr>
      </w:pPr>
      <w:r>
        <w:rPr>
          <w:rFonts w:eastAsia="Calibri" w:cs="Arial" w:ascii="Arial" w:hAnsi="Arial"/>
          <w:sz w:val="24"/>
          <w:szCs w:val="24"/>
          <w:lang w:val="de-DE" w:eastAsia="ar-SA"/>
        </w:rPr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26125" cy="8246745"/>
            <wp:effectExtent l="0" t="0" r="0" b="0"/>
            <wp:wrapSquare wrapText="largest"/>
            <wp:docPr id="3" name="Obraz3" descr="" title="Kopia zaświadczenia z izby projektanta Sebastiana J. Mich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3" descr="" title="Kopia zaświadczenia z izby projektanta Sebastiana J. Michta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-86" t="-61" r="-86" b="-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6125" cy="8246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lineRule="auto" w:line="276" w:before="0" w:after="0"/>
        <w:jc w:val="start"/>
        <w:rPr>
          <w:rFonts w:ascii="Arial" w:hAnsi="Arial" w:eastAsia="Calibri" w:cs="Arial"/>
          <w:b/>
          <w:bCs/>
          <w:sz w:val="24"/>
          <w:szCs w:val="24"/>
          <w:lang w:val="de-DE" w:eastAsia="ar-SA"/>
        </w:rPr>
      </w:pPr>
      <w:r>
        <w:rPr>
          <w:rFonts w:eastAsia="Calibri" w:cs="Arial" w:ascii="Arial" w:hAnsi="Arial"/>
          <w:b/>
          <w:bCs/>
          <w:sz w:val="24"/>
          <w:szCs w:val="24"/>
          <w:lang w:val="de-DE" w:eastAsia="ar-SA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eastAsia="Calibri" w:cs="Arial"/>
          <w:b/>
          <w:bCs/>
          <w:sz w:val="24"/>
          <w:szCs w:val="24"/>
          <w:lang w:val="de-DE" w:eastAsia="ar-SA"/>
        </w:rPr>
      </w:pPr>
      <w:r>
        <w:rPr>
          <w:rFonts w:eastAsia="Calibri" w:cs="Arial" w:ascii="Arial" w:hAnsi="Arial"/>
          <w:b/>
          <w:bCs/>
          <w:sz w:val="24"/>
          <w:szCs w:val="24"/>
          <w:lang w:val="de-DE" w:eastAsia="ar-SA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eastAsia="Calibri" w:cs="Arial"/>
          <w:b/>
          <w:bCs/>
          <w:sz w:val="24"/>
          <w:szCs w:val="24"/>
          <w:lang w:val="de-DE" w:eastAsia="ar-SA"/>
        </w:rPr>
      </w:pPr>
      <w:r>
        <w:rPr>
          <w:rFonts w:eastAsia="Calibri" w:cs="Arial" w:ascii="Arial" w:hAnsi="Arial"/>
          <w:b/>
          <w:bCs/>
          <w:sz w:val="24"/>
          <w:szCs w:val="24"/>
          <w:lang w:val="de-DE" w:eastAsia="ar-SA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>OŚWIADCZENIE PROJEKTANTA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ab/>
      </w:r>
      <w:r>
        <w:rPr>
          <w:rFonts w:cs="Arial" w:ascii="Arial" w:hAnsi="Arial"/>
          <w:sz w:val="24"/>
          <w:szCs w:val="24"/>
        </w:rPr>
        <w:t>Na podstawie art. 34 ust. 3d pkt 3 oraz art. 34 ust. 3e Ustawy z dnia 7 lipca 1994 r. Prawo budowlane (Dz. U. z 2020 r. poz. 1333, 2127, 2320, z 2021 r. poz. 11, 234, 282, 784) oświadczam,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że niniejszy </w:t>
      </w:r>
      <w:r>
        <w:rPr>
          <w:rFonts w:cs="Arial" w:ascii="Arial" w:hAnsi="Arial"/>
          <w:b/>
          <w:bCs/>
          <w:sz w:val="24"/>
          <w:szCs w:val="24"/>
        </w:rPr>
        <w:t>projekt wykonawczy branży elektrycznej</w:t>
      </w:r>
      <w:r>
        <w:rPr>
          <w:rFonts w:cs="Arial" w:ascii="Arial" w:hAnsi="Arial"/>
          <w:sz w:val="24"/>
          <w:szCs w:val="24"/>
        </w:rPr>
        <w:t>,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wykonany na rzecz zamierzenia budowlanego: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Remont pomieszczeń dydaktycznych w budynku „C”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Zespołu Szkół Ponadpodstawowych Nr 2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Centrum Kształcenia Zawodowego im. T. Kościuszki w Łowiczu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i/>
          <w:i/>
          <w:iCs/>
          <w:sz w:val="24"/>
          <w:szCs w:val="24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 xml:space="preserve">w ramach projektu pod nazwą: 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i/>
          <w:iCs/>
          <w:sz w:val="24"/>
          <w:szCs w:val="24"/>
        </w:rPr>
        <w:t>„</w:t>
      </w:r>
      <w:r>
        <w:rPr>
          <w:rFonts w:cs="Arial" w:ascii="Arial" w:hAnsi="Arial"/>
          <w:i/>
          <w:iCs/>
          <w:sz w:val="24"/>
          <w:szCs w:val="24"/>
        </w:rPr>
        <w:t>Modernizacja pracowni warsztatowych do potrzeb zdobycia kwalifikacji branżowych na nowoczesnym rynku pracy mechanizacji rolnictwa”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sz w:val="24"/>
          <w:szCs w:val="24"/>
        </w:rPr>
        <w:t>Lokalizacja: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ul. Blich 10,  99-400 Łowicz,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dz. nr ewid. 1376/6, obręb: 0004 Korabka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tabs>
          <w:tab w:val="clear" w:pos="708"/>
          <w:tab w:val="left" w:pos="3114" w:leader="none"/>
        </w:tabs>
        <w:spacing w:lineRule="auto" w:line="240" w:before="0" w:after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- został sporządzony zgodnie z obowiązującymi przepisami i zasadami wiedzy technicznej.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Osoby, o których mowa w art. 20 ust. 1 pkt 1a ustawy Prawo budowlane, biorące udział w opracowaniu projektu: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tbl>
      <w:tblPr>
        <w:tblW w:w="9056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6401"/>
        <w:gridCol w:w="2654"/>
      </w:tblGrid>
      <w:tr>
        <w:trPr/>
        <w:tc>
          <w:tcPr>
            <w:tcW w:w="6401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Opracowanie:</w:t>
            </w:r>
          </w:p>
        </w:tc>
        <w:tc>
          <w:tcPr>
            <w:tcW w:w="2654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Podpis:</w:t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Projektant: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SEBASTIAN MICHTA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upr. bud. w spec. inst. elektrycznych nr SWK/0174/PWOE/11</w:t>
            </w:r>
          </w:p>
        </w:tc>
        <w:tc>
          <w:tcPr>
            <w:tcW w:w="2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Współpraca - opracowanie: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EWA PIOTROWICZ</w:t>
            </w:r>
          </w:p>
        </w:tc>
        <w:tc>
          <w:tcPr>
            <w:tcW w:w="2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9055" w:type="dxa"/>
            <w:gridSpan w:val="2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sz w:val="22"/>
                <w:szCs w:val="22"/>
                <w:u w:val="none"/>
              </w:rPr>
            </w:pPr>
            <w:r>
              <w:rPr>
                <w:rFonts w:cs="Arial" w:ascii="Arial" w:hAnsi="Arial"/>
                <w:sz w:val="22"/>
                <w:szCs w:val="22"/>
                <w:u w:val="none"/>
              </w:rPr>
              <w:t>PAŹDZIERNIK 2025</w:t>
            </w:r>
          </w:p>
        </w:tc>
      </w:tr>
    </w:tbl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spacing w:lineRule="auto" w:line="240"/>
        <w:rPr>
          <w:rFonts w:ascii="Arial" w:hAnsi="Arial" w:eastAsia="Calibri" w:cs="Arial"/>
          <w:color w:val="FF0000"/>
          <w:sz w:val="24"/>
          <w:szCs w:val="24"/>
          <w:lang w:val="de-DE" w:eastAsia="ar-SA"/>
        </w:rPr>
      </w:pPr>
      <w:r>
        <w:rPr>
          <w:rFonts w:eastAsia="Calibri" w:cs="Arial" w:ascii="Arial" w:hAnsi="Arial"/>
          <w:color w:val="FF0000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color w:val="FF0000"/>
          <w:sz w:val="24"/>
          <w:szCs w:val="24"/>
          <w:lang w:val="de-DE" w:eastAsia="ar-SA"/>
        </w:rPr>
      </w:pPr>
      <w:r>
        <w:rPr>
          <w:rFonts w:eastAsia="Calibri" w:cs="Arial" w:ascii="Arial" w:hAnsi="Arial"/>
          <w:color w:val="FF0000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color w:val="FF0000"/>
          <w:sz w:val="24"/>
          <w:szCs w:val="24"/>
          <w:lang w:val="de-DE" w:eastAsia="ar-SA"/>
        </w:rPr>
      </w:pPr>
      <w:r>
        <w:rPr>
          <w:rFonts w:eastAsia="Calibri" w:cs="Arial" w:ascii="Arial" w:hAnsi="Arial"/>
          <w:color w:val="FF0000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color w:val="FF0000"/>
          <w:sz w:val="24"/>
          <w:szCs w:val="24"/>
          <w:lang w:val="de-DE" w:eastAsia="ar-SA"/>
        </w:rPr>
      </w:pPr>
      <w:r>
        <w:rPr>
          <w:rFonts w:eastAsia="Calibri" w:cs="Arial" w:ascii="Arial" w:hAnsi="Arial"/>
          <w:color w:val="FF0000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color w:val="FF0000"/>
          <w:sz w:val="24"/>
          <w:szCs w:val="24"/>
          <w:lang w:val="de-DE" w:eastAsia="ar-SA"/>
        </w:rPr>
      </w:pPr>
      <w:r>
        <w:rPr>
          <w:rFonts w:eastAsia="Calibri" w:cs="Arial" w:ascii="Arial" w:hAnsi="Arial"/>
          <w:color w:val="FF0000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color w:val="FF0000"/>
          <w:sz w:val="24"/>
          <w:szCs w:val="24"/>
          <w:lang w:val="de-DE" w:eastAsia="ar-SA"/>
        </w:rPr>
      </w:pPr>
      <w:r>
        <w:rPr>
          <w:rFonts w:eastAsia="Calibri" w:cs="Arial" w:ascii="Arial" w:hAnsi="Arial"/>
          <w:color w:val="FF0000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color w:val="FF0000"/>
          <w:sz w:val="24"/>
          <w:szCs w:val="24"/>
          <w:lang w:val="de-DE" w:eastAsia="ar-SA"/>
        </w:rPr>
      </w:pPr>
      <w:r>
        <w:rPr>
          <w:rFonts w:eastAsia="Calibri" w:cs="Arial" w:ascii="Arial" w:hAnsi="Arial"/>
          <w:color w:val="FF0000"/>
          <w:sz w:val="24"/>
          <w:szCs w:val="24"/>
          <w:lang w:val="de-DE" w:eastAsia="ar-SA"/>
        </w:rPr>
      </w:r>
    </w:p>
    <w:p>
      <w:pPr>
        <w:pStyle w:val="Normal"/>
        <w:suppressAutoHyphens w:val="false"/>
        <w:spacing w:lineRule="auto" w:line="240"/>
        <w:rPr>
          <w:rFonts w:ascii="Arial" w:hAnsi="Arial" w:eastAsia="Calibri" w:cs="Arial"/>
          <w:sz w:val="24"/>
          <w:szCs w:val="24"/>
          <w:lang w:val="de-DE" w:eastAsia="ar-SA"/>
        </w:rPr>
      </w:pPr>
      <w:r>
        <w:rPr>
          <w:rFonts w:eastAsia="Calibri" w:cs="Arial" w:ascii="Arial" w:hAnsi="Arial"/>
          <w:b/>
          <w:bCs/>
          <w:sz w:val="24"/>
          <w:szCs w:val="24"/>
          <w:lang w:val="de-DE" w:eastAsia="ar-SA"/>
        </w:rPr>
        <w:t>CZĘŚĆ OPISOWA – OPIS TECHNICZNY</w:t>
      </w:r>
    </w:p>
    <w:p>
      <w:pPr>
        <w:pStyle w:val="Normal"/>
        <w:suppressAutoHyphens w:val="false"/>
        <w:spacing w:lineRule="auto" w:line="240"/>
        <w:rPr>
          <w:rFonts w:ascii="Arial" w:hAnsi="Arial" w:eastAsia="Calibri" w:cs="Arial"/>
          <w:sz w:val="24"/>
          <w:szCs w:val="24"/>
          <w:lang w:val="de-DE" w:eastAsia="ar-SA"/>
        </w:rPr>
      </w:pPr>
      <w:r>
        <w:rPr>
          <w:rFonts w:eastAsia="Calibri" w:cs="Arial" w:ascii="Arial" w:hAnsi="Arial"/>
          <w:sz w:val="24"/>
          <w:szCs w:val="24"/>
          <w:lang w:val="de-DE" w:eastAsia="ar-SA"/>
        </w:rPr>
      </w:r>
    </w:p>
    <w:p>
      <w:pPr>
        <w:pStyle w:val="Heading1"/>
        <w:numPr>
          <w:ilvl w:val="0"/>
          <w:numId w:val="0"/>
        </w:numPr>
        <w:suppressAutoHyphens w:val="false"/>
        <w:ind w:hanging="0" w:start="360" w:end="0"/>
        <w:jc w:val="start"/>
        <w:rPr>
          <w:rFonts w:ascii="Arial" w:hAnsi="Arial" w:cs="Arial"/>
          <w:color w:val="000000"/>
          <w:sz w:val="24"/>
          <w:szCs w:val="24"/>
        </w:rPr>
      </w:pPr>
      <w:r>
        <w:rPr>
          <w:rFonts w:cs="Arial"/>
          <w:color w:val="000000"/>
          <w:sz w:val="24"/>
          <w:szCs w:val="24"/>
        </w:rPr>
        <w:t>1. PRZEDMIOT opracowania</w:t>
      </w:r>
    </w:p>
    <w:p>
      <w:pPr>
        <w:pStyle w:val="Normal"/>
        <w:suppressAutoHyphens w:val="false"/>
        <w:ind w:end="0"/>
        <w:jc w:val="start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ab/>
      </w:r>
    </w:p>
    <w:p>
      <w:pPr>
        <w:pStyle w:val="Akapitzlist"/>
        <w:numPr>
          <w:ilvl w:val="0"/>
          <w:numId w:val="2"/>
        </w:numPr>
        <w:suppressAutoHyphens w:val="false"/>
        <w:spacing w:lineRule="auto" w:line="240"/>
        <w:ind w:hanging="360" w:start="720" w:end="0"/>
        <w:rPr>
          <w:rFonts w:ascii="Arial" w:hAnsi="Arial" w:eastAsia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Przedmiotem opracowania jest projekt wykonawczy branży elektrycznej, dotyczący wykonania nowych instalacji w pomieszczeniach dydaktycznych ZSP nr 2 w Łowiczu, przy ul. Blich 10. Pracami objęte będą: pracownia agrotroniki II (AG II), pracownia rolnictwa precyzyjnego (RLP), ślusarnia (SL), spawalnia z magazynkiem (SP). </w:t>
      </w:r>
    </w:p>
    <w:p>
      <w:pPr>
        <w:pStyle w:val="Akapitzlist"/>
        <w:numPr>
          <w:ilvl w:val="0"/>
          <w:numId w:val="2"/>
        </w:numPr>
        <w:suppressAutoHyphens w:val="false"/>
        <w:spacing w:lineRule="auto" w:line="240"/>
        <w:ind w:hanging="360" w:start="720" w:end="0"/>
        <w:rPr>
          <w:rFonts w:ascii="Arial" w:hAnsi="Arial" w:eastAsia="HG Mincho Light J" w:cs="Arial"/>
          <w:b w:val="false"/>
          <w:bCs w:val="false"/>
          <w:i w:val="false"/>
          <w:i w:val="false"/>
          <w:iCs w:val="false"/>
          <w:color w:val="000000"/>
          <w:position w:val="0"/>
          <w:sz w:val="24"/>
          <w:sz w:val="24"/>
          <w:szCs w:val="24"/>
          <w:u w:val="none"/>
          <w:vertAlign w:val="baseline"/>
        </w:rPr>
      </w:pPr>
      <w:r>
        <w:rPr>
          <w:rFonts w:eastAsia="Arial" w:cs="Arial" w:ascii="Arial" w:hAnsi="Arial"/>
          <w:color w:val="000000"/>
          <w:sz w:val="24"/>
          <w:szCs w:val="24"/>
        </w:rPr>
        <w:t xml:space="preserve"> </w:t>
      </w:r>
      <w:r>
        <w:rPr>
          <w:rFonts w:eastAsia="HG Mincho Light J" w:cs="Arial" w:ascii="Arial" w:hAnsi="Arial"/>
          <w:b w:val="false"/>
          <w:bCs w:val="false"/>
          <w:color w:val="000000"/>
          <w:sz w:val="24"/>
          <w:szCs w:val="24"/>
          <w:u w:val="none"/>
        </w:rPr>
        <w:t xml:space="preserve">Opracowanie stanowi część całego zadania: Remont pomieszczeń dydaktycznych w budynku „C” i „B” Zespołu Szkół Ponadpodstawowych Nr 2, Centrum Kształcenia Zawodowego im. Tadeusz Kościuszki w Łowiczu </w:t>
      </w:r>
      <w:r>
        <w:rPr>
          <w:rFonts w:eastAsia="HG Mincho Light J" w:cs="Arial" w:ascii="Arial" w:hAnsi="Arial"/>
          <w:b w:val="false"/>
          <w:bCs w:val="false"/>
          <w:i w:val="false"/>
          <w:iCs w:val="false"/>
          <w:color w:val="000000"/>
          <w:position w:val="0"/>
          <w:sz w:val="24"/>
          <w:sz w:val="24"/>
          <w:szCs w:val="24"/>
          <w:u w:val="none"/>
          <w:vertAlign w:val="baseline"/>
        </w:rPr>
        <w:t xml:space="preserve">w ramach projektu pod nazwą: </w:t>
      </w:r>
      <w:r>
        <w:rPr>
          <w:rFonts w:cs="Arial" w:ascii="Arial" w:hAnsi="Arial"/>
          <w:color w:val="000000"/>
          <w:sz w:val="24"/>
          <w:szCs w:val="24"/>
        </w:rPr>
        <w:t xml:space="preserve">„Modernizacja pracowni warsztatowych do potrzeb zdobycia kwalifikacji branżowych na nowoczesnym rynku pracy </w:t>
      </w:r>
      <w:r>
        <w:rPr>
          <w:rFonts w:eastAsia="HG Mincho Light J" w:cs="Arial" w:ascii="Arial" w:hAnsi="Arial"/>
          <w:b w:val="false"/>
          <w:bCs w:val="false"/>
          <w:i w:val="false"/>
          <w:iCs w:val="false"/>
          <w:color w:val="000000"/>
          <w:position w:val="0"/>
          <w:sz w:val="24"/>
          <w:sz w:val="24"/>
          <w:szCs w:val="24"/>
          <w:u w:val="none"/>
          <w:vertAlign w:val="baseline"/>
        </w:rPr>
        <w:t>mechanizacji rolnictwa”.</w:t>
      </w:r>
    </w:p>
    <w:p>
      <w:pPr>
        <w:pStyle w:val="Akapitzlist"/>
        <w:numPr>
          <w:ilvl w:val="0"/>
          <w:numId w:val="2"/>
        </w:numPr>
        <w:suppressAutoHyphens w:val="false"/>
        <w:spacing w:lineRule="auto" w:line="240"/>
        <w:ind w:hanging="360" w:start="720" w:end="0"/>
        <w:rPr>
          <w:rFonts w:ascii="Arial" w:hAnsi="Arial" w:eastAsia="HG Mincho Light J" w:cs="Arial"/>
          <w:b w:val="false"/>
          <w:bCs w:val="false"/>
          <w:i w:val="false"/>
          <w:i w:val="false"/>
          <w:iCs w:val="false"/>
          <w:color w:val="000000"/>
          <w:position w:val="0"/>
          <w:sz w:val="24"/>
          <w:sz w:val="24"/>
          <w:szCs w:val="24"/>
          <w:u w:val="none"/>
          <w:vertAlign w:val="baseline"/>
        </w:rPr>
      </w:pPr>
      <w:r>
        <w:rPr>
          <w:rFonts w:eastAsia="HG Mincho Light J" w:cs="Arial" w:ascii="Arial" w:hAnsi="Arial"/>
          <w:b w:val="false"/>
          <w:bCs w:val="false"/>
          <w:i w:val="false"/>
          <w:iCs w:val="false"/>
          <w:color w:val="000000"/>
          <w:position w:val="0"/>
          <w:sz w:val="24"/>
          <w:sz w:val="24"/>
          <w:szCs w:val="24"/>
          <w:u w:val="none"/>
          <w:vertAlign w:val="baseline"/>
        </w:rPr>
        <w:t>Dokumentacja dotycząca budynku „B” – stanowi odrębne opracowanie.</w:t>
      </w:r>
    </w:p>
    <w:p>
      <w:pPr>
        <w:pStyle w:val="Akapitzlist"/>
        <w:numPr>
          <w:ilvl w:val="0"/>
          <w:numId w:val="0"/>
        </w:numPr>
        <w:suppressAutoHyphens w:val="false"/>
        <w:spacing w:lineRule="auto" w:line="240"/>
        <w:ind w:hanging="0" w:start="1428" w:end="0"/>
        <w:rPr>
          <w:rFonts w:ascii="Arial" w:hAnsi="Arial" w:eastAsia="HG Mincho Light J" w:cs="Arial"/>
          <w:b w:val="false"/>
          <w:bCs w:val="false"/>
          <w:i w:val="false"/>
          <w:i w:val="false"/>
          <w:iCs w:val="false"/>
          <w:color w:val="000000"/>
          <w:position w:val="0"/>
          <w:sz w:val="24"/>
          <w:sz w:val="24"/>
          <w:szCs w:val="24"/>
          <w:u w:val="none"/>
          <w:vertAlign w:val="baseline"/>
        </w:rPr>
      </w:pPr>
      <w:r>
        <w:rPr>
          <w:rFonts w:eastAsia="HG Mincho Light J" w:cs="Arial" w:ascii="Arial" w:hAnsi="Arial"/>
          <w:b w:val="false"/>
          <w:bCs w:val="false"/>
          <w:i w:val="false"/>
          <w:iCs w:val="false"/>
          <w:color w:val="000000"/>
          <w:position w:val="0"/>
          <w:sz w:val="24"/>
          <w:sz w:val="24"/>
          <w:szCs w:val="24"/>
          <w:u w:val="none"/>
          <w:vertAlign w:val="baseline"/>
        </w:rPr>
      </w:r>
    </w:p>
    <w:p>
      <w:pPr>
        <w:pStyle w:val="Heading1"/>
        <w:keepNext w:val="true"/>
        <w:widowControl/>
        <w:numPr>
          <w:ilvl w:val="0"/>
          <w:numId w:val="1"/>
        </w:numPr>
        <w:suppressAutoHyphens w:val="false"/>
        <w:bidi w:val="0"/>
        <w:spacing w:before="57" w:after="57"/>
        <w:ind w:hanging="0" w:start="340" w:end="0"/>
        <w:jc w:val="start"/>
        <w:rPr>
          <w:rFonts w:ascii="Arial" w:hAnsi="Arial" w:cs="Arial"/>
          <w:sz w:val="24"/>
          <w:szCs w:val="24"/>
        </w:rPr>
      </w:pPr>
      <w:r>
        <w:rPr/>
        <w:t>2. Podstawa opracowania</w:t>
      </w:r>
    </w:p>
    <w:p>
      <w:pPr>
        <w:pStyle w:val="Akapitzlist"/>
        <w:numPr>
          <w:ilvl w:val="0"/>
          <w:numId w:val="2"/>
        </w:numPr>
        <w:suppressAutoHyphens w:val="false"/>
        <w:spacing w:lineRule="auto" w:line="240"/>
        <w:ind w:hanging="360" w:start="720"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Umowa z Inwestorem </w:t>
      </w:r>
    </w:p>
    <w:p>
      <w:pPr>
        <w:pStyle w:val="Akapitzlist"/>
        <w:numPr>
          <w:ilvl w:val="0"/>
          <w:numId w:val="2"/>
        </w:numPr>
        <w:suppressAutoHyphens w:val="false"/>
        <w:spacing w:lineRule="auto" w:line="240"/>
        <w:ind w:hanging="360" w:start="720"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Wizje lokalne, szkice, pomiary, dokumentacja fotograficzna</w:t>
      </w:r>
    </w:p>
    <w:p>
      <w:pPr>
        <w:pStyle w:val="Akapitzlist"/>
        <w:numPr>
          <w:ilvl w:val="0"/>
          <w:numId w:val="2"/>
        </w:numPr>
        <w:suppressAutoHyphens w:val="false"/>
        <w:spacing w:lineRule="auto" w:line="240"/>
        <w:ind w:hanging="360" w:start="720"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Projekty pozostałych branż</w:t>
      </w:r>
    </w:p>
    <w:p>
      <w:pPr>
        <w:pStyle w:val="Normal"/>
        <w:suppressAutoHyphens w:val="false"/>
        <w:spacing w:lineRule="auto" w:line="240" w:before="0" w:after="0"/>
        <w:ind w:hanging="1" w:start="709" w:end="0"/>
        <w:contextualSpacing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Podstawa prawna</w:t>
      </w:r>
    </w:p>
    <w:p>
      <w:pPr>
        <w:pStyle w:val="Akapitzlist"/>
        <w:numPr>
          <w:ilvl w:val="0"/>
          <w:numId w:val="2"/>
        </w:numPr>
        <w:suppressAutoHyphens w:val="false"/>
        <w:spacing w:lineRule="auto" w:line="240"/>
        <w:ind w:hanging="360" w:start="720"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Ustawa z dnia 7 lipca 1994 Prawo Budowlane z późniejszymi zmianami. </w:t>
      </w:r>
      <w:bookmarkStart w:id="0" w:name="_Hlk2587814"/>
      <w:r>
        <w:rPr>
          <w:rFonts w:cs="Arial" w:ascii="Arial" w:hAnsi="Arial"/>
          <w:sz w:val="24"/>
          <w:szCs w:val="24"/>
        </w:rPr>
        <w:t xml:space="preserve">tekst jednolity Dz.U. z 2017r. poz.1332 </w:t>
      </w:r>
    </w:p>
    <w:p>
      <w:pPr>
        <w:pStyle w:val="Akapitzlist"/>
        <w:numPr>
          <w:ilvl w:val="0"/>
          <w:numId w:val="2"/>
        </w:numPr>
        <w:suppressAutoHyphens w:val="false"/>
        <w:spacing w:lineRule="auto" w:line="240"/>
        <w:ind w:hanging="360" w:start="720" w:end="0"/>
        <w:rPr>
          <w:rFonts w:ascii="Arial" w:hAnsi="Arial" w:cs="Arial"/>
          <w:b w:val="false"/>
          <w:bCs w:val="false"/>
          <w:color w:val="000000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Ustawa z dnia 4 lutego 1994 r. o prawie autorskim i prawach pokrewnych (tekst </w:t>
      </w:r>
      <w:r>
        <w:rPr>
          <w:rFonts w:cs="Arial" w:ascii="Arial" w:hAnsi="Arial"/>
          <w:color w:val="auto"/>
          <w:sz w:val="24"/>
          <w:szCs w:val="24"/>
        </w:rPr>
        <w:t>jednolity: Dz. U. z 2006 r., Nr 90, poz. 631, ze zmianami)</w:t>
      </w:r>
    </w:p>
    <w:p>
      <w:pPr>
        <w:pStyle w:val="Akapitzlist"/>
        <w:numPr>
          <w:ilvl w:val="0"/>
          <w:numId w:val="2"/>
        </w:numPr>
        <w:suppressAutoHyphens w:val="false"/>
        <w:spacing w:lineRule="auto" w:line="240"/>
        <w:ind w:hanging="360" w:start="720" w:end="0"/>
        <w:rPr>
          <w:color w:val="auto"/>
        </w:rPr>
      </w:pPr>
      <w:bookmarkStart w:id="1" w:name="_Hlk6849664"/>
      <w:r>
        <w:rPr>
          <w:rFonts w:cs="Arial" w:ascii="Arial" w:hAnsi="Arial"/>
          <w:b w:val="false"/>
          <w:bCs w:val="false"/>
          <w:color w:val="auto"/>
          <w:sz w:val="24"/>
          <w:szCs w:val="24"/>
        </w:rPr>
        <w:t>Rozporządzenie Ministra Infrastruktury w sprawie warunków technicznych, jakim powinny odpowiadać budynki i ich usytuowanie z dnia 31.12.2020 oraz wykazu norm powołanych w rozporządzeniu w załączniku nr 1 do rozporządzenia.</w:t>
      </w:r>
      <w:bookmarkEnd w:id="0"/>
      <w:bookmarkEnd w:id="1"/>
    </w:p>
    <w:p>
      <w:pPr>
        <w:pStyle w:val="Normal"/>
        <w:numPr>
          <w:ilvl w:val="0"/>
          <w:numId w:val="0"/>
        </w:numPr>
        <w:tabs>
          <w:tab w:val="clear" w:pos="708"/>
          <w:tab w:val="left" w:pos="709" w:leader="none"/>
        </w:tabs>
        <w:suppressAutoHyphens w:val="false"/>
        <w:spacing w:lineRule="auto" w:line="240" w:before="0" w:after="0"/>
        <w:ind w:hanging="0" w:start="720" w:end="0"/>
        <w:textAlignment w:val="auto"/>
        <w:rPr>
          <w:rFonts w:ascii="Arial" w:hAnsi="Arial" w:eastAsia="Calibri" w:cs="Arial"/>
          <w:b w:val="false"/>
          <w:bCs w:val="false"/>
          <w:color w:val="FF0000"/>
          <w:sz w:val="24"/>
          <w:szCs w:val="24"/>
          <w:lang w:val="pl-PL" w:eastAsia="en-US"/>
        </w:rPr>
      </w:pPr>
      <w:r>
        <w:rPr>
          <w:rFonts w:eastAsia="Calibri" w:cs="Arial" w:ascii="Arial" w:hAnsi="Arial"/>
          <w:b w:val="false"/>
          <w:bCs w:val="false"/>
          <w:color w:val="FF0000"/>
          <w:sz w:val="24"/>
          <w:szCs w:val="24"/>
          <w:lang w:val="pl-PL" w:eastAsia="en-US"/>
        </w:rPr>
      </w:r>
    </w:p>
    <w:p>
      <w:pPr>
        <w:pStyle w:val="Heading1"/>
        <w:keepNext w:val="true"/>
        <w:widowControl/>
        <w:numPr>
          <w:ilvl w:val="0"/>
          <w:numId w:val="1"/>
        </w:numPr>
        <w:suppressAutoHyphens w:val="false"/>
        <w:bidi w:val="0"/>
        <w:spacing w:before="57" w:after="57"/>
        <w:ind w:hanging="0" w:start="340" w:end="0"/>
        <w:jc w:val="start"/>
        <w:rPr>
          <w:rFonts w:ascii="Arial" w:hAnsi="Arial" w:cs="Arial"/>
          <w:sz w:val="24"/>
          <w:szCs w:val="24"/>
          <w:lang w:val="pl-PL"/>
        </w:rPr>
      </w:pPr>
      <w:r>
        <w:rPr>
          <w:rFonts w:eastAsia="Calibri" w:cs="Arial"/>
          <w:b/>
          <w:bCs/>
          <w:color w:val="auto"/>
          <w:sz w:val="24"/>
          <w:szCs w:val="24"/>
          <w:lang w:val="pl-PL" w:eastAsia="en-US"/>
        </w:rPr>
        <w:t xml:space="preserve">3. </w:t>
      </w:r>
      <w:r>
        <w:rPr>
          <w:rFonts w:cs="Arial"/>
          <w:b/>
          <w:bCs/>
          <w:color w:val="auto"/>
          <w:sz w:val="24"/>
          <w:szCs w:val="24"/>
          <w:lang w:val="pl-PL"/>
        </w:rPr>
        <w:t>Opis stanu projektowanego</w:t>
      </w:r>
    </w:p>
    <w:p>
      <w:pPr>
        <w:pStyle w:val="TB11"/>
        <w:rPr>
          <w:rFonts w:ascii="Arial" w:hAnsi="Arial" w:cs="Arial"/>
          <w:b w:val="false"/>
          <w:bCs w:val="false"/>
          <w:color w:val="auto"/>
          <w:sz w:val="24"/>
          <w:szCs w:val="24"/>
          <w:lang w:val="pl-PL"/>
        </w:rPr>
      </w:pPr>
      <w:r>
        <w:rPr>
          <w:rFonts w:cs="Arial" w:ascii="Arial" w:hAnsi="Arial"/>
          <w:sz w:val="24"/>
          <w:szCs w:val="24"/>
          <w:lang w:val="pl-PL"/>
        </w:rPr>
        <w:tab/>
        <w:t>Przed przystąpieniem do projektowanych prac montażowych, należy wykonać demontaż istniejącej instalacji elektrycznej we wszystkich rozpatrywanych pomieszczeniach. Prace demontażowe obejmować będą:</w:t>
      </w:r>
    </w:p>
    <w:p>
      <w:pPr>
        <w:pStyle w:val="TB11"/>
        <w:rPr>
          <w:rFonts w:ascii="Arial" w:hAnsi="Arial" w:cs="Arial"/>
          <w:b w:val="false"/>
          <w:bCs w:val="false"/>
          <w:color w:val="auto"/>
          <w:sz w:val="24"/>
          <w:szCs w:val="24"/>
        </w:rPr>
      </w:pPr>
      <w:r>
        <w:rPr>
          <w:rFonts w:cs="Arial" w:ascii="Arial" w:hAnsi="Arial"/>
          <w:b w:val="false"/>
          <w:bCs w:val="false"/>
          <w:color w:val="auto"/>
          <w:sz w:val="24"/>
          <w:szCs w:val="24"/>
          <w:lang w:val="pl-PL"/>
        </w:rPr>
        <w:t xml:space="preserve">- </w:t>
      </w:r>
      <w:r>
        <w:rPr>
          <w:rFonts w:cs="Arial" w:ascii="Arial" w:hAnsi="Arial"/>
          <w:b w:val="false"/>
          <w:bCs w:val="false"/>
          <w:color w:val="auto"/>
          <w:sz w:val="24"/>
          <w:szCs w:val="24"/>
        </w:rPr>
        <w:t>odłączenie przewodów od zasilania z głównych tablic rozdzielczych  RG, znajdujących się w korytarzu;</w:t>
      </w:r>
    </w:p>
    <w:p>
      <w:pPr>
        <w:pStyle w:val="TB11"/>
        <w:rPr>
          <w:rFonts w:ascii="Arial" w:hAnsi="Arial" w:cs="Arial"/>
          <w:b w:val="false"/>
          <w:bCs w:val="false"/>
          <w:color w:val="auto"/>
          <w:sz w:val="24"/>
          <w:szCs w:val="24"/>
        </w:rPr>
      </w:pPr>
      <w:r>
        <w:rPr>
          <w:rFonts w:cs="Arial" w:ascii="Arial" w:hAnsi="Arial"/>
          <w:b w:val="false"/>
          <w:bCs w:val="false"/>
          <w:color w:val="auto"/>
          <w:sz w:val="24"/>
          <w:szCs w:val="24"/>
        </w:rPr>
        <w:t>- demontaż istniejących wewnętrznych tablic rozdzielczych w pom. spawalni;</w:t>
      </w:r>
    </w:p>
    <w:p>
      <w:pPr>
        <w:pStyle w:val="TB11"/>
        <w:rPr>
          <w:rFonts w:ascii="Arial" w:hAnsi="Arial" w:cs="Arial"/>
          <w:b w:val="false"/>
          <w:bCs w:val="false"/>
          <w:color w:val="auto"/>
          <w:sz w:val="24"/>
          <w:szCs w:val="24"/>
        </w:rPr>
      </w:pPr>
      <w:r>
        <w:rPr>
          <w:rFonts w:cs="Arial" w:ascii="Arial" w:hAnsi="Arial"/>
          <w:b w:val="false"/>
          <w:bCs w:val="false"/>
          <w:color w:val="auto"/>
          <w:sz w:val="24"/>
          <w:szCs w:val="24"/>
        </w:rPr>
        <w:t>- demontaż przewodów podtynkowych w pomieszczeniu agrotroniki (zasilanie od rozdzielni oraz okablowanie w obrębie sali)</w:t>
      </w:r>
    </w:p>
    <w:p>
      <w:pPr>
        <w:pStyle w:val="TB11"/>
        <w:rPr>
          <w:rFonts w:ascii="Arial" w:hAnsi="Arial" w:cs="Arial"/>
          <w:b w:val="false"/>
          <w:bCs w:val="false"/>
          <w:color w:val="auto"/>
          <w:sz w:val="24"/>
          <w:szCs w:val="24"/>
        </w:rPr>
      </w:pPr>
      <w:r>
        <w:rPr>
          <w:rFonts w:cs="Arial" w:ascii="Arial" w:hAnsi="Arial"/>
          <w:b w:val="false"/>
          <w:bCs w:val="false"/>
          <w:color w:val="auto"/>
          <w:sz w:val="24"/>
          <w:szCs w:val="24"/>
        </w:rPr>
        <w:t>- demontaz przewodów podtynkowych oraz zewnętrznych wraz z usunięciem szyn montażowych w pracowni rolnictwa precyzyjnego (RLP), ślusarni (SL) i spawalni (SP);</w:t>
      </w:r>
    </w:p>
    <w:p>
      <w:pPr>
        <w:pStyle w:val="TB11"/>
        <w:rPr>
          <w:rFonts w:ascii="Arial" w:hAnsi="Arial" w:cs="Arial"/>
          <w:b w:val="false"/>
          <w:bCs w:val="false"/>
          <w:color w:val="auto"/>
          <w:sz w:val="24"/>
          <w:szCs w:val="24"/>
        </w:rPr>
      </w:pPr>
      <w:r>
        <w:rPr>
          <w:rFonts w:cs="Arial" w:ascii="Arial" w:hAnsi="Arial"/>
          <w:b w:val="false"/>
          <w:bCs w:val="false"/>
          <w:color w:val="auto"/>
          <w:sz w:val="24"/>
          <w:szCs w:val="24"/>
        </w:rPr>
        <w:t>- demontaż gniazd 230V we wszystkich pomieszczeniach, oraz 400V (w pomieszczeniach RLP, SL, SP),</w:t>
      </w:r>
    </w:p>
    <w:p>
      <w:pPr>
        <w:pStyle w:val="TB11"/>
        <w:rPr>
          <w:rFonts w:ascii="Arial" w:hAnsi="Arial" w:cs="Arial"/>
          <w:b w:val="false"/>
          <w:bCs w:val="false"/>
          <w:color w:val="auto"/>
          <w:sz w:val="24"/>
          <w:szCs w:val="24"/>
          <w:lang w:val="pl-PL"/>
        </w:rPr>
      </w:pPr>
      <w:r>
        <w:rPr>
          <w:rFonts w:cs="Arial" w:ascii="Arial" w:hAnsi="Arial"/>
          <w:b w:val="false"/>
          <w:bCs w:val="false"/>
          <w:color w:val="auto"/>
          <w:sz w:val="24"/>
          <w:szCs w:val="24"/>
        </w:rPr>
        <w:t>- demontaż łączników, włączników bramy, włączników wentylatorów i pozostałych punktów,</w:t>
      </w:r>
    </w:p>
    <w:p>
      <w:pPr>
        <w:pStyle w:val="TB11"/>
        <w:rPr>
          <w:rFonts w:ascii="Arial" w:hAnsi="Arial" w:cs="Arial"/>
          <w:b w:val="false"/>
          <w:bCs w:val="false"/>
          <w:color w:val="auto"/>
          <w:sz w:val="24"/>
          <w:szCs w:val="24"/>
          <w:lang w:val="pl-PL"/>
        </w:rPr>
      </w:pPr>
      <w:r>
        <w:rPr>
          <w:rFonts w:cs="Arial" w:ascii="Arial" w:hAnsi="Arial"/>
          <w:b w:val="false"/>
          <w:bCs w:val="false"/>
          <w:color w:val="auto"/>
          <w:sz w:val="24"/>
          <w:szCs w:val="24"/>
          <w:lang w:val="pl-PL"/>
        </w:rPr>
        <w:t>- demontaż opraw oświetlenia mocowanego na sufitach podwieszanych w pracowni agrotroniki II,</w:t>
      </w:r>
    </w:p>
    <w:p>
      <w:pPr>
        <w:pStyle w:val="TB11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 w:val="false"/>
          <w:bCs w:val="false"/>
          <w:color w:val="auto"/>
          <w:sz w:val="24"/>
          <w:szCs w:val="24"/>
          <w:lang w:val="pl-PL"/>
        </w:rPr>
        <w:t>- demontaż oświetlenia podwieszonego na linach stalowych wraz z usunięciem prętów montażowych utwierdzonych w ścianach w pracowni rolnictwa precyzyjnego (RLP), ślusarni (SL) i spawalni (SP);</w:t>
      </w:r>
    </w:p>
    <w:p>
      <w:pPr>
        <w:pStyle w:val="TB11"/>
        <w:rPr/>
      </w:pPr>
      <w:r>
        <w:rPr/>
      </w:r>
    </w:p>
    <w:p>
      <w:pPr>
        <w:pStyle w:val="Heading2"/>
        <w:numPr>
          <w:ilvl w:val="1"/>
          <w:numId w:val="1"/>
        </w:numPr>
        <w:spacing w:before="57" w:after="57"/>
        <w:ind w:hanging="0" w:start="0"/>
        <w:rPr>
          <w:rFonts w:ascii="Arial" w:hAnsi="Arial" w:cs="Arial"/>
          <w:sz w:val="24"/>
          <w:szCs w:val="24"/>
        </w:rPr>
      </w:pPr>
      <w:r>
        <w:rPr/>
        <w:t>3.1. Zakres opracowania stanu projektowanego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Zakres opracowania: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- zasilanie podstawowe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  instalacja siłowa, gniazd wtyczkowych 230V  / 400V / 24V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  instalacja oświetlenia podstawowego i ewakuacyjnego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  instalacja strukturalna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  instalacje: ochrony przeciwprzepięciowej, ochrony przed porażeniem prądem elektrycznym i wyrównania potencjałów.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 wskazówki dotyczące pomiarów elektrycznych</w:t>
      </w:r>
    </w:p>
    <w:p>
      <w:pPr>
        <w:pStyle w:val="Normal"/>
        <w:suppressAutoHyphens w:val="false"/>
        <w:spacing w:lineRule="auto" w:line="240" w:before="0" w:after="0"/>
        <w:rPr/>
      </w:pPr>
      <w:r>
        <w:rPr/>
      </w:r>
    </w:p>
    <w:p>
      <w:pPr>
        <w:pStyle w:val="Heading2"/>
        <w:numPr>
          <w:ilvl w:val="1"/>
          <w:numId w:val="1"/>
        </w:numPr>
        <w:spacing w:before="57" w:after="57"/>
        <w:ind w:hanging="0" w:start="0"/>
        <w:rPr>
          <w:rFonts w:ascii="Arial" w:hAnsi="Arial" w:cs="Arial"/>
          <w:sz w:val="24"/>
          <w:szCs w:val="24"/>
        </w:rPr>
      </w:pPr>
      <w:r>
        <w:rPr/>
        <w:t>3.2. Zasilanie TR, WLZ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Zasilanie do rozdzielni głównych budynku i rozdzielnie główne w korytarzach zasilające wewnętrzne tablice rozdzielcze - pozostają bez zmian. Zaprojektowano tablice lokalne (TR) w przedmiotowych pracowniach, zgodnie z przedstawionymi w części rysunkowej schematami.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TR-1 – pracownia agrotroniki II (AG II),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TR-2 – ślusarnia (SL) – (min. IP-54),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TR-3 – pracownia rolnictwa precyzyjnego (RLP),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TR-4 – spawalnia  z magazynkiem (SP) – (min. IP-54),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Zasilanie tablic TR należy wykonać nowym kablem YKY 5x50 – prowadzonym w istniejących szynach montażowych -  po ścianach od strony korytarza.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Tablice TR  będą wyposażone w: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wyłącznik główny,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szyny zbiorcze w systemie TN-S lub okablowanie wewnętrzne,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ochronniki przeciwprzepięciowe klasy 2,</w:t>
      </w:r>
    </w:p>
    <w:p>
      <w:pPr>
        <w:pStyle w:val="Normal"/>
        <w:suppressAutoHyphens w:val="false"/>
        <w:spacing w:lineRule="auto" w:line="240"/>
        <w:rPr>
          <w:rFonts w:ascii="Arial" w:hAnsi="Arial" w:eastAsia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- zabezpieczenia nadmiarowo prądowe oraz różnicowoprądowe dla poszczególnych 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  <w:t xml:space="preserve">  </w:t>
      </w:r>
      <w:r>
        <w:rPr>
          <w:rFonts w:cs="Arial" w:ascii="Arial" w:hAnsi="Arial"/>
          <w:sz w:val="24"/>
          <w:szCs w:val="24"/>
        </w:rPr>
        <w:t>obwodów odejściowych.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 xml:space="preserve">Wyprowadzenia przewodów z rozdzielnicy wykonać poprzez listwy zaciskowe.  Wolne przestrzenie pod przyszłą rozbudowę będą wyposażone w szyny zbiorcze </w:t>
        <w:br/>
        <w:t>i wszelkie podzespoły mechaniczne, niezbędne do montażu aparatury.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Heading2"/>
        <w:numPr>
          <w:ilvl w:val="1"/>
          <w:numId w:val="1"/>
        </w:numPr>
        <w:spacing w:before="57" w:after="57"/>
        <w:ind w:hanging="0" w:start="0"/>
        <w:rPr>
          <w:rFonts w:ascii="Arial" w:hAnsi="Arial" w:cs="Arial"/>
          <w:sz w:val="24"/>
          <w:szCs w:val="24"/>
        </w:rPr>
      </w:pPr>
      <w:r>
        <w:rPr/>
        <w:t>3.3. Instalacja gniazd wtyczkowych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Instalacja gniazd obejmuje zasilanie gniazd wtyczkowych 230V / 400V / 24V. Obwody zasilające wykonać przewodami typu HDHP-j  3/5x2,5/4/6/10 mm2 na napięcie izolacji 750 V. Obwody będą wyprowadzone bezpośrednio z  tablic TR.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 xml:space="preserve">Prowadzenie przewodów zasilania gniazd – podtynkowe. </w:t>
      </w:r>
      <w:r>
        <w:rPr>
          <w:rFonts w:cs="Arial" w:ascii="Arial" w:hAnsi="Arial"/>
          <w:i w:val="false"/>
          <w:iCs w:val="false"/>
          <w:sz w:val="24"/>
          <w:szCs w:val="24"/>
        </w:rPr>
        <w:t>(W przypadku zasilania projektora w pracowni agrotroniki II – prowadzenie przewodu w przestrzeni sufitu podwieszonego. W pracowni agrotroniki i rolnictwa precyzyjnego fragmentaryczne doprowadzenie zasilania 230V  do miejsc późniejszego usytuowania stanowisk uczniów - po podłodze, listwą maskującą).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Gniazda wtyczkowe  1L+N+PE , 230V / 400V / 24V, 50 Hz  - zaprojektowano jako podtynkowe o stopniu szczelności IP20 (pracownia agrotroniki i rolnictwa precyzyjnego) oraz min. IP54 (ślusarnia i spawalnia). Żyłę PE należy połączyć z bolcami gniazd  i obudową aparatów elektrycznych.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Usytuowanie gniazd wtyczkowych wg poniższej instrukcji.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W pracowni agrotroniki II i rolnictwa precyzyjnego usytuowanie standardowe na wysokości 30cm od podłogi. Gniazda przy stanowisku badania alternatorów w pomieszczeniu  rolnictwa precyzyjnego na wys. 110cm. Gniazda przy stanowiskach spawalniczych w spawalni i przy warsztatach ślusarni - usytuowane nadblatowo (na wys. 110cm).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bCs w:val="false"/>
          <w:sz w:val="24"/>
          <w:szCs w:val="24"/>
        </w:rPr>
      </w:pPr>
      <w:r>
        <w:rPr/>
        <w:t>3.4. Instalacja  oświetleniowa</w:t>
      </w:r>
    </w:p>
    <w:p>
      <w:pPr>
        <w:pStyle w:val="Heading2"/>
        <w:keepNext w:val="false"/>
        <w:keepLines w:val="false"/>
        <w:numPr>
          <w:ilvl w:val="0"/>
          <w:numId w:val="0"/>
        </w:numPr>
        <w:suppressAutoHyphens w:val="false"/>
        <w:spacing w:lineRule="auto" w:line="240" w:before="160" w:after="40"/>
        <w:ind w:hanging="0" w:start="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/>
          <w:b/>
          <w:bCs w:val="false"/>
          <w:sz w:val="24"/>
          <w:szCs w:val="24"/>
        </w:rPr>
        <w:t>Oświetlenie podstawowe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eastAsia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Zaprojektowano oprawy sufitowe typu LED.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eastAsia="Arial" w:cs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  <w:t xml:space="preserve"> </w:t>
      </w:r>
      <w:r>
        <w:rPr>
          <w:rFonts w:cs="Arial" w:ascii="Arial" w:hAnsi="Arial"/>
          <w:sz w:val="24"/>
          <w:szCs w:val="24"/>
        </w:rPr>
        <w:t>- Pracownia agrotroniki II – oprawy oświetleniowe IP20, wbudowane w moduły sufitu podwieszanego kasetonowego.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  <w:t xml:space="preserve"> </w:t>
      </w:r>
      <w:r>
        <w:rPr>
          <w:rFonts w:cs="Arial" w:ascii="Arial" w:hAnsi="Arial"/>
          <w:sz w:val="24"/>
          <w:szCs w:val="24"/>
        </w:rPr>
        <w:t>- Pracownia rolnictwa precyzyjnego – oprawy IP20 w układzie liniowym, montowane pod sufitem / montaż bezpośredni do sufitu.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Ślusarnia i spawalnia – oprawy (min.) IP54 w układzie liniowym, montowane pod sufitem / montaż  bezpośredni do sufitu.</w:t>
      </w:r>
    </w:p>
    <w:p>
      <w:pPr>
        <w:pStyle w:val="Normal"/>
        <w:suppressAutoHyphens w:val="false"/>
        <w:ind w:end="0"/>
        <w:rPr>
          <w:rFonts w:ascii="Arial" w:hAnsi="Arial" w:cs="Arial"/>
          <w:b w:val="false"/>
          <w:bCs w:val="false"/>
          <w:sz w:val="24"/>
          <w:szCs w:val="24"/>
          <w:u w:val="single"/>
        </w:rPr>
      </w:pPr>
      <w:r>
        <w:rPr>
          <w:rFonts w:cs="Arial" w:ascii="Arial" w:hAnsi="Arial"/>
          <w:sz w:val="24"/>
          <w:szCs w:val="24"/>
        </w:rPr>
        <w:tab/>
        <w:t>Oświetlenie powinno spełniać wymogi normy PN-EN-12464-1 lub normy równoważnej. Ogólne wymagania:</w:t>
      </w:r>
    </w:p>
    <w:p>
      <w:pPr>
        <w:pStyle w:val="Normal"/>
        <w:suppressAutoHyphens w:val="false"/>
        <w:ind w:end="0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  <w:u w:val="single"/>
        </w:rPr>
        <w:t>- Pracownia agrotroniki II</w:t>
      </w:r>
    </w:p>
    <w:p>
      <w:pPr>
        <w:pStyle w:val="Normal"/>
        <w:suppressAutoHyphens w:val="false"/>
        <w:ind w:end="0"/>
        <w:rPr>
          <w:rFonts w:ascii="Arial" w:hAnsi="Arial" w:cs="Arial"/>
          <w:b w:val="false"/>
          <w:b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 xml:space="preserve">Minimum 300 luksów (lx) na płaszczyźnie ławek / biurek, 500 lx w miejscach eksponowanych jak przy tablicy. Zalecany wysoki współczynnik oddawania barw (CRI) powyżej 80, neutralna barwa światła (3400-5300 K) i niski współczynnik olśnienia (UGR). </w:t>
      </w:r>
    </w:p>
    <w:p>
      <w:pPr>
        <w:pStyle w:val="Normal"/>
        <w:suppressAutoHyphens w:val="false"/>
        <w:ind w:end="0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  <w:u w:val="single"/>
        </w:rPr>
        <w:t>- Pracownia rolnictwa precyzyjnego / ślusarnia / spawalnia</w:t>
      </w:r>
    </w:p>
    <w:p>
      <w:pPr>
        <w:pStyle w:val="Normal"/>
        <w:suppressAutoHyphens w:val="false"/>
        <w:ind w:end="0"/>
        <w:rPr/>
      </w:pPr>
      <w:r>
        <w:rPr>
          <w:rFonts w:cs="Arial" w:ascii="Arial" w:hAnsi="Arial"/>
          <w:b w:val="false"/>
          <w:bCs w:val="false"/>
          <w:sz w:val="24"/>
          <w:szCs w:val="24"/>
        </w:rPr>
        <w:t xml:space="preserve">Minimum 500 luksów (lx) dla SL i SP oraz min. 750 lx dla RLP  - na płaszczyźnie roboczej oraz 500 luksów (lx) w miejscach eksponowanych jak przy tablicy. Zalecany wysoki współczynnik oddawania barw (CRI) powyżej 80, </w:t>
      </w:r>
      <w:r>
        <w:rPr>
          <w:rStyle w:val="Strong"/>
          <w:rFonts w:cs="Arial" w:ascii="Arial" w:hAnsi="Arial"/>
          <w:b w:val="false"/>
          <w:bCs w:val="false"/>
          <w:sz w:val="24"/>
          <w:szCs w:val="24"/>
        </w:rPr>
        <w:t>neutralna chłodna barwa (około 4000 – 5000K) i niski współczynnik olśnienia (UGR).</w:t>
      </w:r>
    </w:p>
    <w:p>
      <w:pPr>
        <w:pStyle w:val="Normal"/>
        <w:suppressAutoHyphens w:val="false"/>
        <w:ind w:end="0"/>
        <w:rPr/>
      </w:pPr>
      <w:r>
        <w:rPr/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/>
          <w:bCs/>
          <w:sz w:val="24"/>
          <w:szCs w:val="24"/>
          <w:u w:val="single"/>
        </w:rPr>
        <w:t>Projektowane oprawy oświetleniowe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/>
          <w:bCs/>
          <w:u w:val="single"/>
        </w:rPr>
      </w:pPr>
      <w:r>
        <w:rPr>
          <w:rStyle w:val="Strong"/>
          <w:rFonts w:cs="Arial" w:ascii="Arial" w:hAnsi="Arial"/>
          <w:b w:val="false"/>
          <w:bCs w:val="false"/>
        </w:rPr>
        <w:t>Projektuje się oprawy oświetleniowe spełniające wymogi jak wymienione poniżej lub inne o niegorszych parametrach i równoważnych danych technicznych: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/>
          <w:bCs/>
          <w:u w:val="single"/>
        </w:rPr>
      </w:pPr>
      <w:r>
        <w:rPr/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/>
          <w:bCs/>
          <w:u w:val="single"/>
        </w:rPr>
        <w:tab/>
        <w:t>AG II</w:t>
      </w:r>
      <w:r>
        <w:rPr>
          <w:rStyle w:val="Strong"/>
          <w:rFonts w:cs="Arial" w:ascii="Arial" w:hAnsi="Arial"/>
          <w:b w:val="false"/>
          <w:bCs w:val="false"/>
          <w:u w:val="single"/>
        </w:rPr>
        <w:t xml:space="preserve"> - Pracownia agrotroniki II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</w:t>
      </w:r>
      <w:r>
        <w:rPr>
          <w:rStyle w:val="Strong"/>
          <w:rFonts w:eastAsia="Arial" w:cs="Arial" w:ascii="Arial" w:hAnsi="Arial"/>
          <w:b w:val="false"/>
          <w:bCs w:val="false"/>
        </w:rPr>
        <w:t xml:space="preserve"> </w:t>
      </w:r>
      <w:r>
        <w:rPr>
          <w:rStyle w:val="Strong"/>
          <w:rFonts w:cs="Arial" w:ascii="Arial" w:hAnsi="Arial"/>
          <w:b w:val="false"/>
          <w:bCs w:val="false"/>
        </w:rPr>
        <w:t>- (Oprawa) [lm]  - 5130 (1 szt.); 30779 (suma)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</w:t>
      </w:r>
      <w:r>
        <w:rPr>
          <w:rStyle w:val="Strong"/>
          <w:rFonts w:eastAsia="Arial" w:cs="Arial" w:ascii="Arial" w:hAnsi="Arial"/>
          <w:b w:val="false"/>
          <w:bCs w:val="false"/>
        </w:rPr>
        <w:t xml:space="preserve"> </w:t>
      </w:r>
      <w:r>
        <w:rPr>
          <w:rStyle w:val="Strong"/>
          <w:rFonts w:cs="Arial" w:ascii="Arial" w:hAnsi="Arial"/>
          <w:b w:val="false"/>
          <w:bCs w:val="false"/>
        </w:rPr>
        <w:t>- (Lampa) [lm]  - 5829 (1 szt.); 3497 (suma)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P [W] – 31 (1. szt.); 186 (suma)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Natężenie w płaszczyźnie pracy: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E</w:t>
      </w:r>
      <w:r>
        <w:rPr>
          <w:rStyle w:val="Strong"/>
          <w:rFonts w:cs="Arial" w:ascii="Arial" w:hAnsi="Arial"/>
          <w:b w:val="false"/>
          <w:bCs w:val="false"/>
          <w:vertAlign w:val="subscript"/>
        </w:rPr>
        <w:t>m</w:t>
      </w:r>
      <w:r>
        <w:rPr>
          <w:rStyle w:val="Strong"/>
          <w:rFonts w:cs="Arial" w:ascii="Arial" w:hAnsi="Arial"/>
          <w:b w:val="false"/>
          <w:bCs w:val="false"/>
        </w:rPr>
        <w:t xml:space="preserve">[lx] – 644 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E</w:t>
      </w:r>
      <w:r>
        <w:rPr>
          <w:rStyle w:val="Strong"/>
          <w:rFonts w:cs="Arial" w:ascii="Arial" w:hAnsi="Arial"/>
          <w:b w:val="false"/>
          <w:bCs w:val="false"/>
          <w:vertAlign w:val="subscript"/>
        </w:rPr>
        <w:t xml:space="preserve">min. </w:t>
      </w:r>
      <w:r>
        <w:rPr>
          <w:rStyle w:val="Strong"/>
          <w:rFonts w:cs="Arial" w:ascii="Arial" w:hAnsi="Arial"/>
          <w:b w:val="false"/>
          <w:bCs w:val="false"/>
          <w:position w:val="0"/>
          <w:sz w:val="24"/>
          <w:sz w:val="24"/>
          <w:vertAlign w:val="baseline"/>
        </w:rPr>
        <w:t>[lx] – 457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E</w:t>
      </w:r>
      <w:r>
        <w:rPr>
          <w:rStyle w:val="Strong"/>
          <w:rFonts w:cs="Arial" w:ascii="Arial" w:hAnsi="Arial"/>
          <w:b w:val="false"/>
          <w:bCs w:val="false"/>
          <w:vertAlign w:val="subscript"/>
        </w:rPr>
        <w:t>max</w:t>
      </w:r>
      <w:r>
        <w:rPr>
          <w:rStyle w:val="Strong"/>
          <w:rFonts w:cs="Arial" w:ascii="Arial" w:hAnsi="Arial"/>
          <w:b w:val="false"/>
          <w:bCs w:val="false"/>
          <w:position w:val="0"/>
          <w:sz w:val="24"/>
          <w:sz w:val="24"/>
          <w:vertAlign w:val="baseline"/>
        </w:rPr>
        <w:t>[lx] –  763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/>
          <w:bCs/>
          <w:u w:val="single"/>
        </w:rPr>
      </w:pPr>
      <w:r>
        <w:rPr/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/>
          <w:bCs/>
          <w:u w:val="single"/>
        </w:rPr>
        <w:tab/>
        <w:t>RLP</w:t>
      </w:r>
      <w:r>
        <w:rPr>
          <w:rStyle w:val="Strong"/>
          <w:rFonts w:cs="Arial" w:ascii="Arial" w:hAnsi="Arial"/>
          <w:b w:val="false"/>
          <w:bCs w:val="false"/>
          <w:u w:val="single"/>
        </w:rPr>
        <w:t xml:space="preserve"> - Pracownia rolnictwa precyzyjnego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</w:t>
      </w:r>
      <w:r>
        <w:rPr>
          <w:rStyle w:val="Strong"/>
          <w:rFonts w:eastAsia="Arial" w:cs="Arial" w:ascii="Arial" w:hAnsi="Arial"/>
          <w:b w:val="false"/>
          <w:bCs w:val="false"/>
        </w:rPr>
        <w:t xml:space="preserve"> </w:t>
      </w:r>
      <w:r>
        <w:rPr>
          <w:rStyle w:val="Strong"/>
          <w:rFonts w:cs="Arial" w:ascii="Arial" w:hAnsi="Arial"/>
          <w:b w:val="false"/>
          <w:bCs w:val="false"/>
        </w:rPr>
        <w:t>- (Oprawa) [lm]  - 7572 (1 szt.); 45429 (suma)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</w:t>
      </w:r>
      <w:r>
        <w:rPr>
          <w:rStyle w:val="Strong"/>
          <w:rFonts w:eastAsia="Arial" w:cs="Arial" w:ascii="Arial" w:hAnsi="Arial"/>
          <w:b w:val="false"/>
          <w:bCs w:val="false"/>
        </w:rPr>
        <w:t xml:space="preserve"> </w:t>
      </w:r>
      <w:r>
        <w:rPr>
          <w:rStyle w:val="Strong"/>
          <w:rFonts w:cs="Arial" w:ascii="Arial" w:hAnsi="Arial"/>
          <w:b w:val="false"/>
          <w:bCs w:val="false"/>
        </w:rPr>
        <w:t>- (Lampa) [lm]  - 8918 (1 szt.); 53508 (suma)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P [W] – 49 (1. szt.); 294 (suma)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Natężenie w płaszczyźnie pracy: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E</w:t>
      </w:r>
      <w:r>
        <w:rPr>
          <w:rStyle w:val="Strong"/>
          <w:rFonts w:cs="Arial" w:ascii="Arial" w:hAnsi="Arial"/>
          <w:b w:val="false"/>
          <w:bCs w:val="false"/>
          <w:vertAlign w:val="subscript"/>
        </w:rPr>
        <w:t>m</w:t>
      </w:r>
      <w:r>
        <w:rPr>
          <w:rStyle w:val="Strong"/>
          <w:rFonts w:cs="Arial" w:ascii="Arial" w:hAnsi="Arial"/>
          <w:b w:val="false"/>
          <w:bCs w:val="false"/>
        </w:rPr>
        <w:t xml:space="preserve">[lx] – 730 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E</w:t>
      </w:r>
      <w:r>
        <w:rPr>
          <w:rStyle w:val="Strong"/>
          <w:rFonts w:cs="Arial" w:ascii="Arial" w:hAnsi="Arial"/>
          <w:b w:val="false"/>
          <w:bCs w:val="false"/>
          <w:vertAlign w:val="subscript"/>
        </w:rPr>
        <w:t xml:space="preserve">min. </w:t>
      </w:r>
      <w:r>
        <w:rPr>
          <w:rStyle w:val="Strong"/>
          <w:rFonts w:cs="Arial" w:ascii="Arial" w:hAnsi="Arial"/>
          <w:b w:val="false"/>
          <w:bCs w:val="false"/>
          <w:position w:val="0"/>
          <w:sz w:val="24"/>
          <w:sz w:val="24"/>
          <w:vertAlign w:val="baseline"/>
        </w:rPr>
        <w:t>[lx] – 529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  <w:position w:val="0"/>
          <w:sz w:val="24"/>
          <w:sz w:val="24"/>
          <w:vertAlign w:val="baseline"/>
        </w:rPr>
      </w:pPr>
      <w:r>
        <w:rPr>
          <w:rStyle w:val="Strong"/>
          <w:rFonts w:cs="Arial" w:ascii="Arial" w:hAnsi="Arial"/>
          <w:b w:val="false"/>
          <w:bCs w:val="false"/>
        </w:rPr>
        <w:t>E</w:t>
      </w:r>
      <w:r>
        <w:rPr>
          <w:rStyle w:val="Strong"/>
          <w:rFonts w:cs="Arial" w:ascii="Arial" w:hAnsi="Arial"/>
          <w:b w:val="false"/>
          <w:bCs w:val="false"/>
          <w:vertAlign w:val="subscript"/>
        </w:rPr>
        <w:t>max</w:t>
      </w:r>
      <w:r>
        <w:rPr>
          <w:rStyle w:val="Strong"/>
          <w:rFonts w:cs="Arial" w:ascii="Arial" w:hAnsi="Arial"/>
          <w:b w:val="false"/>
          <w:bCs w:val="false"/>
          <w:position w:val="0"/>
          <w:sz w:val="24"/>
          <w:sz w:val="24"/>
          <w:vertAlign w:val="baseline"/>
        </w:rPr>
        <w:t>[lx] –  909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/>
          <w:bCs/>
          <w:u w:val="single"/>
        </w:rPr>
      </w:pPr>
      <w:r>
        <w:rPr/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/>
          <w:bCs/>
          <w:u w:val="single"/>
        </w:rPr>
        <w:tab/>
        <w:t>SL</w:t>
      </w:r>
      <w:r>
        <w:rPr>
          <w:rStyle w:val="Strong"/>
          <w:rFonts w:cs="Arial" w:ascii="Arial" w:hAnsi="Arial"/>
          <w:b w:val="false"/>
          <w:bCs w:val="false"/>
          <w:u w:val="single"/>
        </w:rPr>
        <w:t xml:space="preserve"> – Ślusarnia 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</w:t>
      </w:r>
      <w:r>
        <w:rPr>
          <w:rStyle w:val="Strong"/>
          <w:rFonts w:eastAsia="Arial" w:cs="Arial" w:ascii="Arial" w:hAnsi="Arial"/>
          <w:b w:val="false"/>
          <w:bCs w:val="false"/>
        </w:rPr>
        <w:t xml:space="preserve"> </w:t>
      </w:r>
      <w:r>
        <w:rPr>
          <w:rStyle w:val="Strong"/>
          <w:rFonts w:cs="Arial" w:ascii="Arial" w:hAnsi="Arial"/>
          <w:b w:val="false"/>
          <w:bCs w:val="false"/>
        </w:rPr>
        <w:t>- (Oprawa) [lm]  - 8617 (1 szt.); 68938 (suma)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</w:t>
      </w:r>
      <w:r>
        <w:rPr>
          <w:rStyle w:val="Strong"/>
          <w:rFonts w:eastAsia="Arial" w:cs="Arial" w:ascii="Arial" w:hAnsi="Arial"/>
          <w:b w:val="false"/>
          <w:bCs w:val="false"/>
        </w:rPr>
        <w:t xml:space="preserve"> </w:t>
      </w:r>
      <w:r>
        <w:rPr>
          <w:rStyle w:val="Strong"/>
          <w:rFonts w:cs="Arial" w:ascii="Arial" w:hAnsi="Arial"/>
          <w:b w:val="false"/>
          <w:bCs w:val="false"/>
        </w:rPr>
        <w:t>- (Lampa) [lm]  - 9269 (1 szt.); 74152 (suma)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P [W] – 53 (1. szt.); 423 (suma)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Natężenie w płaszczyźnie pracy: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E</w:t>
      </w:r>
      <w:r>
        <w:rPr>
          <w:rStyle w:val="Strong"/>
          <w:rFonts w:cs="Arial" w:ascii="Arial" w:hAnsi="Arial"/>
          <w:b w:val="false"/>
          <w:bCs w:val="false"/>
          <w:vertAlign w:val="subscript"/>
        </w:rPr>
        <w:t>m</w:t>
      </w:r>
      <w:r>
        <w:rPr>
          <w:rStyle w:val="Strong"/>
          <w:rFonts w:cs="Arial" w:ascii="Arial" w:hAnsi="Arial"/>
          <w:b w:val="false"/>
          <w:bCs w:val="false"/>
        </w:rPr>
        <w:t xml:space="preserve">[lx] – 674 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E</w:t>
      </w:r>
      <w:r>
        <w:rPr>
          <w:rStyle w:val="Strong"/>
          <w:rFonts w:cs="Arial" w:ascii="Arial" w:hAnsi="Arial"/>
          <w:b w:val="false"/>
          <w:bCs w:val="false"/>
          <w:vertAlign w:val="subscript"/>
        </w:rPr>
        <w:t xml:space="preserve">min. </w:t>
      </w:r>
      <w:r>
        <w:rPr>
          <w:rStyle w:val="Strong"/>
          <w:rFonts w:cs="Arial" w:ascii="Arial" w:hAnsi="Arial"/>
          <w:b w:val="false"/>
          <w:bCs w:val="false"/>
          <w:position w:val="0"/>
          <w:sz w:val="24"/>
          <w:sz w:val="24"/>
          <w:vertAlign w:val="baseline"/>
        </w:rPr>
        <w:t>[lx] – 517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  <w:position w:val="0"/>
          <w:sz w:val="24"/>
          <w:sz w:val="24"/>
          <w:vertAlign w:val="baseline"/>
        </w:rPr>
      </w:pPr>
      <w:r>
        <w:rPr>
          <w:rStyle w:val="Strong"/>
          <w:rFonts w:cs="Arial" w:ascii="Arial" w:hAnsi="Arial"/>
          <w:b w:val="false"/>
          <w:bCs w:val="false"/>
        </w:rPr>
        <w:t>E</w:t>
      </w:r>
      <w:r>
        <w:rPr>
          <w:rStyle w:val="Strong"/>
          <w:rFonts w:cs="Arial" w:ascii="Arial" w:hAnsi="Arial"/>
          <w:b w:val="false"/>
          <w:bCs w:val="false"/>
          <w:vertAlign w:val="subscript"/>
        </w:rPr>
        <w:t>max</w:t>
      </w:r>
      <w:r>
        <w:rPr>
          <w:rStyle w:val="Strong"/>
          <w:rFonts w:cs="Arial" w:ascii="Arial" w:hAnsi="Arial"/>
          <w:b w:val="false"/>
          <w:bCs w:val="false"/>
          <w:position w:val="0"/>
          <w:sz w:val="24"/>
          <w:sz w:val="24"/>
          <w:vertAlign w:val="baseline"/>
        </w:rPr>
        <w:t>[lx] –  803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/>
          <w:bCs/>
          <w:u w:val="single"/>
        </w:rPr>
      </w:pPr>
      <w:r>
        <w:rPr/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/>
          <w:bCs/>
          <w:u w:val="single"/>
        </w:rPr>
        <w:tab/>
        <w:t>SP</w:t>
      </w:r>
      <w:r>
        <w:rPr>
          <w:rStyle w:val="Strong"/>
          <w:rFonts w:cs="Arial" w:ascii="Arial" w:hAnsi="Arial"/>
          <w:b w:val="false"/>
          <w:bCs w:val="false"/>
          <w:u w:val="single"/>
        </w:rPr>
        <w:t xml:space="preserve"> – Spawalnia 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</w:t>
      </w:r>
      <w:r>
        <w:rPr>
          <w:rStyle w:val="Strong"/>
          <w:rFonts w:eastAsia="Arial" w:cs="Arial" w:ascii="Arial" w:hAnsi="Arial"/>
          <w:b w:val="false"/>
          <w:bCs w:val="false"/>
        </w:rPr>
        <w:t xml:space="preserve"> </w:t>
      </w:r>
      <w:r>
        <w:rPr>
          <w:rStyle w:val="Strong"/>
          <w:rFonts w:cs="Arial" w:ascii="Arial" w:hAnsi="Arial"/>
          <w:b w:val="false"/>
          <w:bCs w:val="false"/>
        </w:rPr>
        <w:t>- (Oprawa) [lm]  - 5843 (1 szt.); 52587 (suma)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</w:t>
      </w:r>
      <w:r>
        <w:rPr>
          <w:rStyle w:val="Strong"/>
          <w:rFonts w:eastAsia="Arial" w:cs="Arial" w:ascii="Arial" w:hAnsi="Arial"/>
          <w:b w:val="false"/>
          <w:bCs w:val="false"/>
        </w:rPr>
        <w:t xml:space="preserve"> </w:t>
      </w:r>
      <w:r>
        <w:rPr>
          <w:rStyle w:val="Strong"/>
          <w:rFonts w:cs="Arial" w:ascii="Arial" w:hAnsi="Arial"/>
          <w:b w:val="false"/>
          <w:bCs w:val="false"/>
        </w:rPr>
        <w:t>- (Lampa) [lm]  - 6285 (1 szt.); 56565 (suma)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P [W] – 38 (1. szt.); 342 (suma)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Natężenie w płaszczyźnie pracy: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E</w:t>
      </w:r>
      <w:r>
        <w:rPr>
          <w:rStyle w:val="Strong"/>
          <w:rFonts w:cs="Arial" w:ascii="Arial" w:hAnsi="Arial"/>
          <w:b w:val="false"/>
          <w:bCs w:val="false"/>
          <w:vertAlign w:val="subscript"/>
        </w:rPr>
        <w:t>m</w:t>
      </w:r>
      <w:r>
        <w:rPr>
          <w:rStyle w:val="Strong"/>
          <w:rFonts w:cs="Arial" w:ascii="Arial" w:hAnsi="Arial"/>
          <w:b w:val="false"/>
          <w:bCs w:val="false"/>
        </w:rPr>
        <w:t xml:space="preserve">[lx] – 508 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E</w:t>
      </w:r>
      <w:r>
        <w:rPr>
          <w:rStyle w:val="Strong"/>
          <w:rFonts w:cs="Arial" w:ascii="Arial" w:hAnsi="Arial"/>
          <w:b w:val="false"/>
          <w:bCs w:val="false"/>
          <w:vertAlign w:val="subscript"/>
        </w:rPr>
        <w:t xml:space="preserve">min. </w:t>
      </w:r>
      <w:r>
        <w:rPr>
          <w:rStyle w:val="Strong"/>
          <w:rFonts w:cs="Arial" w:ascii="Arial" w:hAnsi="Arial"/>
          <w:b w:val="false"/>
          <w:bCs w:val="false"/>
          <w:position w:val="0"/>
          <w:sz w:val="24"/>
          <w:sz w:val="24"/>
          <w:vertAlign w:val="baseline"/>
        </w:rPr>
        <w:t>[lx] – 387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  <w:position w:val="0"/>
          <w:sz w:val="24"/>
          <w:sz w:val="24"/>
          <w:vertAlign w:val="baseline"/>
        </w:rPr>
      </w:pPr>
      <w:r>
        <w:rPr>
          <w:rStyle w:val="Strong"/>
          <w:rFonts w:cs="Arial" w:ascii="Arial" w:hAnsi="Arial"/>
          <w:b w:val="false"/>
          <w:bCs w:val="false"/>
        </w:rPr>
        <w:t>E</w:t>
      </w:r>
      <w:r>
        <w:rPr>
          <w:rStyle w:val="Strong"/>
          <w:rFonts w:cs="Arial" w:ascii="Arial" w:hAnsi="Arial"/>
          <w:b w:val="false"/>
          <w:bCs w:val="false"/>
          <w:vertAlign w:val="subscript"/>
        </w:rPr>
        <w:t>max</w:t>
      </w:r>
      <w:r>
        <w:rPr>
          <w:rStyle w:val="Strong"/>
          <w:rFonts w:cs="Arial" w:ascii="Arial" w:hAnsi="Arial"/>
          <w:b w:val="false"/>
          <w:bCs w:val="false"/>
          <w:position w:val="0"/>
          <w:sz w:val="24"/>
          <w:sz w:val="24"/>
          <w:vertAlign w:val="baseline"/>
        </w:rPr>
        <w:t>[lx] –  598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  <w:position w:val="0"/>
          <w:sz w:val="24"/>
          <w:sz w:val="24"/>
          <w:vertAlign w:val="baseline"/>
        </w:rPr>
      </w:pPr>
      <w:r>
        <w:rPr/>
      </w:r>
    </w:p>
    <w:p>
      <w:pPr>
        <w:pStyle w:val="Normal"/>
        <w:suppressAutoHyphens w:val="false"/>
        <w:ind w:end="0"/>
        <w:rPr>
          <w:rFonts w:ascii="Arial" w:hAnsi="Arial" w:cs="Arial"/>
          <w:sz w:val="24"/>
          <w:szCs w:val="24"/>
        </w:rPr>
      </w:pPr>
      <w:r>
        <w:rPr>
          <w:rStyle w:val="Strong"/>
          <w:rFonts w:cs="Arial" w:ascii="Arial" w:hAnsi="Arial"/>
          <w:b w:val="false"/>
          <w:bCs w:val="false"/>
          <w:position w:val="0"/>
          <w:sz w:val="24"/>
          <w:sz w:val="24"/>
          <w:vertAlign w:val="baseline"/>
        </w:rPr>
        <w:tab/>
        <w:t>W pomieszczeniu magazynku zaleca się zastosować jedną oprawę – jak w pomieszczeniu spawalni.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 xml:space="preserve">Oprawy należy zasilić przewodem HDHP-j  3,4,5x1,5 na napięcie izolacji 750. Obwody będą wyprowadzone bezpośrednio z  tablicy TR.  Przewody należy układać pod tynkiem; w pracowni agrotroniki II powyżej wysokości ścian w przestrzeni sufitu podwieszonego. </w:t>
      </w:r>
      <w:bookmarkStart w:id="2" w:name="_Hlk6849771"/>
      <w:r>
        <w:rPr>
          <w:rFonts w:cs="Arial" w:ascii="Arial" w:hAnsi="Arial"/>
          <w:sz w:val="24"/>
          <w:szCs w:val="24"/>
        </w:rPr>
        <w:t>Sterowanie oświetleniem odbywać się będzie poprzez łączniki</w:t>
      </w:r>
      <w:bookmarkEnd w:id="2"/>
      <w:r>
        <w:rPr>
          <w:rFonts w:cs="Arial" w:ascii="Arial" w:hAnsi="Arial"/>
          <w:sz w:val="24"/>
          <w:szCs w:val="24"/>
        </w:rPr>
        <w:t xml:space="preserve"> usytuowane przy wejściach do pomieszczeń.</w:t>
      </w:r>
    </w:p>
    <w:p>
      <w:pPr>
        <w:pStyle w:val="Normal"/>
        <w:suppressAutoHyphens w:val="false"/>
        <w:spacing w:lineRule="auto" w:line="240" w:before="0" w:after="0"/>
        <w:ind w:end="0"/>
        <w:jc w:val="start"/>
        <w:rPr>
          <w:rFonts w:ascii="Arial" w:hAnsi="Arial" w:cs="Arial"/>
          <w:b/>
          <w:bCs w:val="false"/>
          <w:sz w:val="24"/>
          <w:szCs w:val="24"/>
          <w:u w:val="single"/>
        </w:rPr>
      </w:pPr>
      <w:r>
        <w:rPr>
          <w:rFonts w:cs="Arial" w:ascii="Arial" w:hAnsi="Arial"/>
          <w:sz w:val="24"/>
          <w:szCs w:val="24"/>
        </w:rPr>
        <w:tab/>
        <w:t>Poziom natężenia - wg aktualnej normy oświetleniowej (zaprojektowane oprawy oświetleniowe spełniają wymogi)</w:t>
      </w:r>
      <w:r>
        <w:rPr>
          <w:rFonts w:cs="Arial" w:ascii="Arial" w:hAnsi="Arial"/>
          <w:color w:val="C9211E"/>
          <w:sz w:val="24"/>
          <w:szCs w:val="24"/>
        </w:rPr>
        <w:t xml:space="preserve">. </w:t>
      </w:r>
    </w:p>
    <w:p>
      <w:pPr>
        <w:pStyle w:val="Normal"/>
        <w:suppressAutoHyphens w:val="false"/>
        <w:spacing w:lineRule="auto" w:line="240" w:before="0" w:after="0"/>
        <w:ind w:end="0"/>
        <w:jc w:val="start"/>
        <w:rPr>
          <w:rFonts w:ascii="Arial" w:hAnsi="Arial" w:cs="Arial"/>
          <w:b/>
          <w:bCs w:val="false"/>
          <w:sz w:val="24"/>
          <w:szCs w:val="24"/>
          <w:u w:val="single"/>
        </w:rPr>
      </w:pPr>
      <w:r>
        <w:rPr>
          <w:rFonts w:cs="Arial" w:ascii="Arial" w:hAnsi="Arial"/>
          <w:b/>
          <w:bCs w:val="false"/>
          <w:sz w:val="24"/>
          <w:szCs w:val="24"/>
          <w:u w:val="single"/>
        </w:rPr>
      </w:r>
    </w:p>
    <w:p>
      <w:pPr>
        <w:pStyle w:val="Normal"/>
        <w:suppressAutoHyphens w:val="false"/>
        <w:spacing w:lineRule="auto" w:line="240" w:before="0" w:after="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/>
          <w:bCs w:val="false"/>
          <w:sz w:val="24"/>
          <w:szCs w:val="24"/>
          <w:u w:val="single"/>
        </w:rPr>
        <w:t>Oświetlenie ewakuacyjne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 xml:space="preserve">Drogi ewakuacyjne  należy oznakować znakami podświetlanymi  zgodnie z normą PN-EN-ISO-7010 lub normą równoważną, gdzie określony jest rodzaj i kształt znaków ewakuacyjnych. </w:t>
        <w:tab/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Przyjąć następujące zasady: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W każdym miejscu drogi ewakuacyjnej widoczny co najmniej jeden znak ewakuacyjny.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eastAsia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- Oprawy ewakuacyjne przewidywać na takiej wysokości, aby nie były zasłonięte przez inne osoby, czy elementy architektoniczne budynku ( min. 2,0 m od podłogi). 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  <w:t xml:space="preserve">- </w:t>
      </w:r>
      <w:r>
        <w:rPr>
          <w:rFonts w:cs="Arial" w:ascii="Arial" w:hAnsi="Arial"/>
          <w:sz w:val="24"/>
          <w:szCs w:val="24"/>
        </w:rPr>
        <w:t>Znaki ewakuacyjne podświetlone bezpośrednio nad wyjściami a znaki kierunkowe w miejscach, w których drogi ewakuacyjne zmieniają kierunek.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Podświetlane znaki ewakuacyjne na powierzchni drogi ewakuacyjnej będą miały natężenie światła co najmniej 1,0 lx.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Awaryjne oświetlenie ewakuacyjne należy uruchamiać nie tylko w przypadku całkowitego uszkodzenia zasilania oświetlenia podstawowego, ale również w przypadku lokalnego uszkodzenia takiego, jak uszkodzenie obwodu końcowego.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Ilość opraw oświetlenia awaryjnego na każdym z obwodów nie będzie przekraczała 20 szt. 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Wszystkie urządzenia zastosowane na obiekcie muszą posiadać niezbędne i prawidłowe certyfikaty i deklaracje zgodności, dokumenty dopuszczające do stosowania w ochronie przeciwpożarowej.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Oświetlenie ewakuacyjne zostanie dopuszczone do użytkowania na podstawie spełnienia wymogów zawartych w Rozporządzeniu Ministra Spraw Wewnętrznych i Administracji z dnia 27 kwietnia 2010 r. zmieniającego rozporządzenie w sprawie wykazu wyrobów służących zapewnieniu bezpieczeństwa publicznego lub ochronie zdrowia i życia oraz mienia, a także zasad wydawania dopuszczenia tych wyrobów do użytkowania.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Heading2"/>
        <w:numPr>
          <w:ilvl w:val="1"/>
          <w:numId w:val="1"/>
        </w:numPr>
        <w:spacing w:before="57" w:after="57"/>
        <w:ind w:hanging="0" w:start="0"/>
        <w:rPr>
          <w:rFonts w:ascii="Arial" w:hAnsi="Arial" w:cs="Arial"/>
          <w:sz w:val="24"/>
          <w:szCs w:val="24"/>
        </w:rPr>
      </w:pPr>
      <w:r>
        <w:rPr/>
        <w:t>3.5. Ochrona przepięciowa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W części elektrycznej dla budynku wykonana zostanie skoordynowana ochrona przepięciowa. W projektowanej rozdzielnicy RG przewidziano ograniczniki klasy 1. W projektowanej tablicy RG będzie ogranicznik klasy 2.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Heading2"/>
        <w:numPr>
          <w:ilvl w:val="1"/>
          <w:numId w:val="1"/>
        </w:numPr>
        <w:spacing w:before="57" w:after="57"/>
        <w:ind w:hanging="0" w:start="0"/>
        <w:rPr>
          <w:rFonts w:ascii="Arial" w:hAnsi="Arial" w:cs="Arial"/>
          <w:sz w:val="24"/>
          <w:szCs w:val="24"/>
        </w:rPr>
      </w:pPr>
      <w:r>
        <w:rPr/>
        <w:t>3.6. Ochrona przeciwporażeniowa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 xml:space="preserve">Instalacja elektryczna wewnętrzna oraz zewnętrzne WLZ pracuje w układzie sieciowym TN-S.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Jako podstawową ochronę od porażeń prądem elektrycznym stosuje się izolację roboczą i ochronną kabli, przewodów i urządzeń.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Jako dodatkowa ochrona przed porażeniem prądem elektrycznym w instalacji  zastosowane zostanie samoczynne  wyłączenie zasilania za pomocą wyłączników nadmiarowo prądowych, bezpieczników topikowych, wyłącznik różnicowoprądowy o prądzie zadziałania 30 mA oraz urządzeń w II klasie ochronności.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Bezpieczeństwo przeciwporażeniowe zapewnia również system przewodów wyrównawczych połączonych  GSW. Połączeniami wyrównawczymi należy objąć wszelkie przewody metalowe różnych instalacji oraz części przewodzące obce mogące wprowadzić określony potencjał.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Heading2"/>
        <w:numPr>
          <w:ilvl w:val="1"/>
          <w:numId w:val="1"/>
        </w:numPr>
        <w:spacing w:before="0" w:after="0"/>
        <w:ind w:hanging="0" w:start="0"/>
        <w:rPr>
          <w:rFonts w:ascii="Arial" w:hAnsi="Arial" w:cs="Arial"/>
          <w:sz w:val="24"/>
          <w:szCs w:val="24"/>
        </w:rPr>
      </w:pPr>
      <w:r>
        <w:rPr/>
        <w:t>3.7. Połączenia wyrównawcze</w:t>
      </w:r>
    </w:p>
    <w:p>
      <w:pPr>
        <w:pStyle w:val="Normal"/>
        <w:suppressAutoHyphens w:val="false"/>
        <w:spacing w:lineRule="auto" w:line="240"/>
        <w:ind w:end="0"/>
        <w:rPr/>
      </w:pPr>
      <w:r>
        <w:rPr>
          <w:rFonts w:cs="Arial" w:ascii="Arial" w:hAnsi="Arial"/>
          <w:sz w:val="24"/>
          <w:szCs w:val="24"/>
        </w:rPr>
        <w:tab/>
        <w:t>W pomieszczeniu rozdzielni głównych powinny być zamontowane główne szyny uziemiające GSU połączone z uziemieniem otokowym oraz z szyną PE rozdzielnicy. W pozostałych pomieszczeniach  należy zapewnić wyposażenie w główne szyny wyrównania potencjału GSW. Szyny wyrównawcze łączyć ze sobą przewodem oraz z GSU przewodem Cu 16 mm</w:t>
      </w:r>
      <w:r>
        <w:rPr>
          <w:rFonts w:cs="Arial" w:ascii="Arial" w:hAnsi="Arial"/>
          <w:sz w:val="24"/>
          <w:szCs w:val="24"/>
          <w:vertAlign w:val="superscript"/>
        </w:rPr>
        <w:t xml:space="preserve">2  </w:t>
      </w:r>
      <w:r>
        <w:rPr>
          <w:rFonts w:cs="Arial" w:ascii="Arial" w:hAnsi="Arial"/>
          <w:sz w:val="24"/>
          <w:szCs w:val="24"/>
        </w:rPr>
        <w:t>.  Z GSW łączyć szynę PE rozdzielni głównej, wszystkie metalowe elementy konstrukcji i wyposażenia m. in. korytka kablowe, metalowe rurociągi I kanały wentylacyjne, uziemienia UPS.</w:t>
      </w:r>
    </w:p>
    <w:p>
      <w:pPr>
        <w:pStyle w:val="Normal"/>
        <w:suppressAutoHyphens w:val="false"/>
        <w:spacing w:lineRule="auto" w:line="240"/>
        <w:ind w:end="0"/>
        <w:rPr/>
      </w:pPr>
      <w:r>
        <w:rPr/>
      </w:r>
    </w:p>
    <w:p>
      <w:pPr>
        <w:pStyle w:val="Heading2"/>
        <w:numPr>
          <w:ilvl w:val="1"/>
          <w:numId w:val="1"/>
        </w:numPr>
        <w:ind w:hanging="0" w:start="0"/>
        <w:rPr/>
      </w:pPr>
      <w:r>
        <w:rPr/>
        <w:t>3.8. Prowadzenie kabli i przewodów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W przedmiotowych pomieszczeniach przewiduje się w większości prowadzenie przewodów zasilania gniazd i oświetlenia – podtynkowo w wykonanych bruzdach ściennych.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W przypadku zasilania oświetlenia i projektora w pracowni agrotroniki II, częściowo prowadzenie przewodów  w przestrzeni sufitu podwieszonego.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W pracowni agrotroniki II i rolnictwa precyzyjnego fragmentaryczne doprowadzenie zasilania 230V (wraz z zasilaniem strukturalnym do RJ45) do miejsc późniejszego usytuowania stanowisk uczniów – napodłogową listwą maskującą.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W przypadku zasilania  innych urządzeń tj. napędu bramy (wraz z włącznikiem) w pracowni rolnictwa precyzyjnego, zasilanie wentylatorów w pomieszczeniu spawalni w tym wentylatora nowego odciągu spawalniczego (itp.) - podtynkowo w wykonanych brudach ściennych.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Okablowanie strukturalne – prowadzenie podtynkowe, względnie w listwach przypodłogowych oraz w listwach maskujących biegnących po podłogach (doprowadzenie do przyszłych stanowisk uczniów).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Kable HDMI – (projektor / stanowisko nauczyciela) w pracowni rolnictwa precyzyjnego i agrotroniki II, prowadzone podtynkowo / w przestrzeni sufitu podwieszanego / względnie w listwach podłogowych.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>Uwaga:</w:t>
      </w:r>
      <w:r>
        <w:rPr>
          <w:rFonts w:cs="Arial" w:ascii="Arial" w:hAnsi="Arial"/>
          <w:b w:val="false"/>
          <w:bCs w:val="false"/>
          <w:sz w:val="24"/>
          <w:szCs w:val="24"/>
        </w:rPr>
        <w:t xml:space="preserve"> 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Kable, przewody i element instalacji przechodzące przez przegrody należy układać  – z zachowaniem warunków ochrony p.poż.  Należy stosować przepusty p.poż. odpowiadające obowiązującym normom i przepisom z dostosowaniem do parametrów odporności poszczególnych przegród.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Heading2"/>
        <w:numPr>
          <w:ilvl w:val="1"/>
          <w:numId w:val="1"/>
        </w:numPr>
        <w:spacing w:before="57" w:after="57"/>
        <w:ind w:hanging="0" w:start="0"/>
        <w:rPr>
          <w:rFonts w:ascii="Arial" w:hAnsi="Arial" w:cs="Arial"/>
          <w:sz w:val="24"/>
          <w:szCs w:val="24"/>
          <w:lang w:eastAsia="pl-PL"/>
        </w:rPr>
      </w:pPr>
      <w:r>
        <w:rPr/>
        <w:t>3.9. I</w:t>
      </w:r>
      <w:bookmarkStart w:id="3" w:name="_Hlk6856348"/>
      <w:r>
        <w:rPr/>
        <w:t xml:space="preserve">nstalacja strukturalna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  <w:lang w:eastAsia="pl-PL"/>
        </w:rPr>
      </w:pPr>
      <w:r>
        <w:rPr>
          <w:rFonts w:cs="Arial" w:ascii="Arial" w:hAnsi="Arial"/>
          <w:sz w:val="24"/>
          <w:szCs w:val="24"/>
          <w:lang w:eastAsia="pl-PL"/>
        </w:rPr>
        <w:tab/>
        <w:t>Dla potrzeb instalacji strukturalnej przyjęto kategorię 6A.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  <w:lang w:eastAsia="pl-PL"/>
        </w:rPr>
      </w:pPr>
      <w:r>
        <w:rPr>
          <w:rFonts w:cs="Arial" w:ascii="Arial" w:hAnsi="Arial"/>
          <w:sz w:val="24"/>
          <w:szCs w:val="24"/>
          <w:lang w:eastAsia="pl-PL"/>
        </w:rPr>
        <w:t>Punkt PEL oparty będzie na gnieździe 2GHz z możliwością wymiany wkładek.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  <w:lang w:eastAsia="pl-PL"/>
        </w:rPr>
      </w:pPr>
      <w:r>
        <w:rPr>
          <w:rFonts w:cs="Arial" w:ascii="Arial" w:hAnsi="Arial"/>
          <w:sz w:val="24"/>
          <w:szCs w:val="24"/>
          <w:lang w:eastAsia="pl-PL"/>
        </w:rPr>
        <w:tab/>
        <w:t>Gniazda RJ45 montowane będą w pracowniach agrotroniki II i rolnictwa precyzyjnego - wg rzutów.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  <w:lang w:eastAsia="pl-PL"/>
        </w:rPr>
      </w:pPr>
      <w:r>
        <w:rPr>
          <w:rFonts w:cs="Arial" w:ascii="Arial" w:hAnsi="Arial"/>
          <w:sz w:val="24"/>
          <w:szCs w:val="24"/>
          <w:lang w:eastAsia="pl-PL"/>
        </w:rPr>
        <w:tab/>
        <w:t>Okablowanie strukturalne prowadzić podtynkowo, względnie w listwach na połączeniu ścian i podłóg. W pracowniach agrotroniki II i rolnictwa precyzyjnego należy wyprowadzić dodatkowe okablowanie  strukturalne do strefy przyszłych stanowisk uczniów (prowadzenie w listwie podłogowej maskującej).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  <w:lang w:eastAsia="pl-PL"/>
        </w:rPr>
      </w:pPr>
      <w:r>
        <w:rPr>
          <w:rFonts w:cs="Arial" w:ascii="Arial" w:hAnsi="Arial"/>
          <w:sz w:val="24"/>
          <w:szCs w:val="24"/>
          <w:lang w:eastAsia="pl-PL"/>
        </w:rPr>
        <w:tab/>
        <w:t>Gniazda RJ45 zostaną podłączone do projektowanych w pracowniach agrotroniki i rolnictwa precyzyjnego szaf RACK.</w:t>
      </w:r>
    </w:p>
    <w:p>
      <w:pPr>
        <w:pStyle w:val="Normal"/>
        <w:suppressAutoHyphens w:val="false"/>
        <w:spacing w:lineRule="auto" w:line="240" w:before="0" w:after="0"/>
        <w:rPr/>
      </w:pPr>
      <w:r>
        <w:rPr>
          <w:rFonts w:cs="Arial" w:ascii="Arial" w:hAnsi="Arial"/>
          <w:sz w:val="24"/>
          <w:szCs w:val="24"/>
          <w:lang w:eastAsia="pl-PL"/>
        </w:rPr>
        <w:tab/>
        <w:t xml:space="preserve">Projektuje się szafy RACK wiszące 19”-12U, </w:t>
      </w:r>
      <w:r>
        <w:rPr>
          <w:rFonts w:cs="Arial" w:ascii="Arial" w:hAnsi="Arial"/>
          <w:color w:val="000000"/>
          <w:sz w:val="24"/>
          <w:szCs w:val="24"/>
        </w:rPr>
        <w:t>z podłączeniem do istniejącego przyłącza sieci LAN, wraz z zestawem akcesoriów (listwa zasilająca, zasilacz awaryjny UPS, patch panel, router rack, switch – 2 szt., panel porządkujący).</w:t>
      </w:r>
    </w:p>
    <w:p>
      <w:pPr>
        <w:pStyle w:val="Normal"/>
        <w:suppressAutoHyphens w:val="false"/>
        <w:spacing w:lineRule="auto" w:line="240" w:before="0" w:after="0"/>
        <w:rPr/>
      </w:pPr>
      <w:r>
        <w:rPr/>
      </w:r>
    </w:p>
    <w:p>
      <w:pPr>
        <w:pStyle w:val="Heading2"/>
        <w:numPr>
          <w:ilvl w:val="1"/>
          <w:numId w:val="1"/>
        </w:numPr>
        <w:spacing w:before="57" w:after="57"/>
        <w:ind w:hanging="0" w:start="0"/>
        <w:rPr>
          <w:rFonts w:ascii="Arial" w:hAnsi="Arial" w:cs="Arial"/>
          <w:color w:val="000000"/>
          <w:sz w:val="24"/>
          <w:szCs w:val="24"/>
        </w:rPr>
      </w:pPr>
      <w:r>
        <w:rPr/>
        <w:t>3.10. Pomiary powykonawcze i kontrola instalacji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ab/>
        <w:t xml:space="preserve">Po wykonaniu instalacji należy potwierdzić ich prawidłowe działanie i zgodność z obowiązującymi normami poprzez fizyczną inspekcję widocznych przewodów, gniazd, kontaktów, opraw oświetleniowych, tablic rozdzielczych i innych elementów. </w:t>
        <w:tab/>
        <w:t>Należy wykonać pomiary mające na celu weryfikację stanu technicznego, bezpieczeństwo oraz poprawność działania urządzeń zabezpieczających. Prace pomiarowe powinny uwzględniać: pomiary rezystencji izolacji, pomiary ciągłości przewodów ochronnych i wyrównawczych, pomiary rezystencji uziemienia, pomiary impedencji pętli zwarcia, badanie wyłączników różnicowoprądowych.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Wyniki wszystkich przeprowadzonych pomiarów należy udokumentować w protokole pomiarów.</w:t>
      </w:r>
    </w:p>
    <w:p>
      <w:pPr>
        <w:pStyle w:val="TB1"/>
        <w:numPr>
          <w:ilvl w:val="0"/>
          <w:numId w:val="1"/>
        </w:numPr>
        <w:rPr/>
      </w:pPr>
      <w:r>
        <w:rPr/>
      </w:r>
      <w:bookmarkEnd w:id="3"/>
    </w:p>
    <w:p>
      <w:pPr>
        <w:pStyle w:val="Heading1"/>
        <w:numPr>
          <w:ilvl w:val="0"/>
          <w:numId w:val="0"/>
        </w:numPr>
        <w:spacing w:before="114" w:after="114"/>
        <w:ind w:hanging="0" w:start="0"/>
        <w:rPr>
          <w:rFonts w:ascii="Arial" w:hAnsi="Arial" w:cs="Arial"/>
          <w:sz w:val="24"/>
          <w:szCs w:val="24"/>
        </w:rPr>
      </w:pPr>
      <w:r>
        <w:rPr/>
        <w:t>4. UWAGI KOŃCOWE</w:t>
      </w:r>
    </w:p>
    <w:p>
      <w:pPr>
        <w:pStyle w:val="Normal"/>
        <w:widowControl/>
        <w:suppressAutoHyphens w:val="false"/>
        <w:bidi w:val="0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 xml:space="preserve">Całość prac wykonać  zgodnie z obowiązującymi normami  i przepisami. Należy stosować urządzenia, wyroby i materiały posiadające świadectwo dopuszczenia do stosowania w budownictwie lub świadectwa kwalifikacji jakości, względnie oznaczone państwowym znakiem jakości lub znakiem bezpieczeństwa, wydanymi przez uprawnione jednostki kwalifikacyjne. </w:t>
      </w:r>
    </w:p>
    <w:p>
      <w:pPr>
        <w:pStyle w:val="Normal"/>
        <w:widowControl/>
        <w:suppressAutoHyphens w:val="false"/>
        <w:bidi w:val="0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Prace rozbiórkowe, demontażowe i montażowo – budowlane należy prowadzić pod nadzorem osoby upoważnionej przez inwestora do sprawowania kontroli nad robotami.</w:t>
      </w:r>
    </w:p>
    <w:p>
      <w:pPr>
        <w:pStyle w:val="Normal"/>
        <w:widowControl/>
        <w:suppressAutoHyphens w:val="false"/>
        <w:bidi w:val="0"/>
        <w:spacing w:lineRule="auto" w:line="240"/>
        <w:ind w:end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sz w:val="24"/>
          <w:szCs w:val="24"/>
        </w:rPr>
        <w:tab/>
        <w:t xml:space="preserve">Całość prac związanych z pracami elektrycznymi należy prowadzić zgodnie z obowiązującymi normami i przepisami BHP. </w:t>
      </w:r>
    </w:p>
    <w:p>
      <w:pPr>
        <w:pStyle w:val="Header"/>
        <w:widowControl/>
        <w:numPr>
          <w:ilvl w:val="0"/>
          <w:numId w:val="0"/>
        </w:numPr>
        <w:tabs>
          <w:tab w:val="clear" w:pos="4536"/>
          <w:tab w:val="center" w:pos="564" w:leader="none"/>
          <w:tab w:val="right" w:pos="9072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ab/>
        <w:tab/>
        <w:t xml:space="preserve">Dopuszcza się w realizacji inwestycji zastosowanie innych materiałów, urządzeń i rozwiązań pod warunkiem zachowania ich równoważności w stosunku do wskazanych w projekcie i posiadających  nie gorsze parametry techniczne i właściwości. </w:t>
        <w:tab/>
      </w:r>
    </w:p>
    <w:p>
      <w:pPr>
        <w:pStyle w:val="Header"/>
        <w:widowControl/>
        <w:tabs>
          <w:tab w:val="clear" w:pos="4536"/>
          <w:tab w:val="center" w:pos="564" w:leader="none"/>
          <w:tab w:val="right" w:pos="9072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 w:val="false"/>
          <w:bCs w:val="false"/>
          <w:color w:val="auto"/>
          <w:sz w:val="24"/>
          <w:szCs w:val="24"/>
          <w:u w:val="none"/>
          <w:lang w:eastAsia="pl-PL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ab/>
        <w:tab/>
        <w:t xml:space="preserve">W przypadku stwierdzenia w trakcie prowadzenia robót, konieczności zastosowania innych rozwiązań wynikających z przyczyn niezależnych, należy zastosować rozwiązania zamienne po uzgodnieniu ich z Inwestorem i Projektantem. </w:t>
      </w:r>
    </w:p>
    <w:p>
      <w:pPr>
        <w:pStyle w:val="Normal"/>
        <w:widowControl/>
        <w:suppressAutoHyphens w:val="false"/>
        <w:bidi w:val="0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eastAsia="pl-PL"/>
        </w:rPr>
        <w:tab/>
      </w: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lang w:eastAsia="pl-PL"/>
        </w:rPr>
        <w:t>Po wykonaniu projektowanych prac należy wykonać pomiary zrealizowanej instalacji elektrycznej.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283" w:end="0"/>
        <w:jc w:val="end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283" w:end="0"/>
        <w:jc w:val="end"/>
        <w:rPr>
          <w:rFonts w:ascii="Arial" w:hAnsi="Arial" w:cs="Arial"/>
        </w:rPr>
      </w:pPr>
      <w:r>
        <w:rPr>
          <w:rFonts w:cs="Arial" w:ascii="Arial" w:hAnsi="Arial"/>
          <w:sz w:val="24"/>
          <w:szCs w:val="24"/>
        </w:rPr>
        <w:t>Mgr inż. Sebastian Michta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283" w:end="0"/>
        <w:jc w:val="end"/>
        <w:rPr/>
      </w:pPr>
      <w:r>
        <w:rPr>
          <w:rFonts w:cs="Arial" w:ascii="Arial" w:hAnsi="Arial"/>
        </w:rPr>
        <w:t xml:space="preserve">upr. nr: </w:t>
      </w:r>
      <w:r>
        <w:rPr>
          <w:rFonts w:cs="Arial" w:ascii="Arial" w:hAnsi="Arial"/>
          <w:color w:val="000000"/>
        </w:rPr>
        <w:t>SWK/0174/PWOE/11</w:t>
      </w:r>
    </w:p>
    <w:sectPr>
      <w:headerReference w:type="default" r:id="rId5"/>
      <w:headerReference w:type="first" r:id="rId6"/>
      <w:footerReference w:type="default" r:id="rId7"/>
      <w:footerReference w:type="first" r:id="rId8"/>
      <w:type w:val="nextPage"/>
      <w:pgSz w:w="11906" w:h="16838"/>
      <w:pgMar w:left="1814" w:right="907" w:gutter="0" w:header="567" w:top="2074" w:footer="567" w:bottom="845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</w:font>
  <w:font w:name="Symbol">
    <w:charset w:val="02"/>
    <w:family w:val="roman"/>
    <w:pitch w:val="variable"/>
  </w:font>
  <w:font w:name="Arial">
    <w:charset w:val="00" w:characterSet="windows-1252"/>
    <w:family w:val="swiss"/>
    <w:pitch w:val="variable"/>
  </w:font>
  <w:font w:name="Liberation Serif">
    <w:altName w:val="Times New Roman"/>
    <w:charset w:val="ee" w:characterSet="windows-1250"/>
    <w:family w:val="roman"/>
    <w:pitch w:val="variable"/>
  </w:font>
  <w:font w:name="Times New Roman">
    <w:charset w:val="ee" w:characterSet="windows-1250"/>
    <w:family w:val="roman"/>
    <w:pitch w:val="variable"/>
  </w:font>
  <w:font w:name="Arial">
    <w:charset w:val="ee" w:characterSet="windows-1250"/>
    <w:family w:val="roman"/>
    <w:pitch w:val="variable"/>
  </w:font>
  <w:font w:name="Symbol">
    <w:charset w:val="ee" w:characterSet="windows-1250"/>
    <w:family w:val="roman"/>
    <w:pitch w:val="variable"/>
  </w:font>
  <w:font w:name="OpenSymbol">
    <w:altName w:val="Arial Unicode MS"/>
    <w:charset w:val="ee" w:characterSet="windows-1250"/>
    <w:family w:val="roman"/>
    <w:pitch w:val="variable"/>
  </w:font>
  <w:font w:name="Wingdings">
    <w:charset w:val="ee" w:characterSet="windows-1250"/>
    <w:family w:val="roman"/>
    <w:pitch w:val="variable"/>
  </w:font>
  <w:font w:name="Courier New">
    <w:charset w:val="ee" w:characterSet="windows-1250"/>
    <w:family w:val="roman"/>
    <w:pitch w:val="variable"/>
  </w:font>
  <w:font w:name="Liberation Sans">
    <w:altName w:val="Arial"/>
    <w:charset w:val="ee" w:characterSet="windows-1250"/>
    <w:family w:val="roman"/>
    <w:pitch w:val="variable"/>
  </w:font>
  <w:font w:name="Calibri">
    <w:charset w:val="ee" w:characterSet="windows-1250"/>
    <w:family w:val="roman"/>
    <w:pitch w:val="variable"/>
  </w:font>
  <w:font w:name="Bahnschrift Light Condensed">
    <w:charset w:val="ee" w:characterSet="windows-1250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/>
    </w:pPr>
    <w:bookmarkStart w:id="4" w:name="PageNumWizard_FOOTER_Domyślny_styl_stron"/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13</w:t>
    </w:r>
    <w:r>
      <w:rPr/>
      <w:fldChar w:fldCharType="end"/>
    </w:r>
    <w:bookmarkEnd w:id="4"/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</w:rPr>
    </w:pPr>
    <w:r>
      <w:rPr>
        <w:rFonts w:cs="Bahnschrift Light Condensed" w:ascii="Bahnschrift Light Condensed" w:hAnsi="Bahnschrift Light Condensed"/>
      </w:rPr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none"/>
      </w:rPr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000000"/>
        <w:sz w:val="12"/>
        <w:szCs w:val="12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 xml:space="preserve">kontakt - mgr inż. arch. Łukasz Wojtysiak, tel:  606 632 999, e-mail: </w:t>
    </w:r>
    <w:hyperlink r:id="rId1">
      <w:r>
        <w:rPr>
          <w:rStyle w:val="Hyperlink"/>
          <w:rFonts w:cs="Bahnschrift Light Condensed" w:ascii="Bahnschrift Light Condensed" w:hAnsi="Bahnschrift Light Condensed"/>
          <w:b w:val="false"/>
          <w:bCs w:val="false"/>
          <w:i w:val="false"/>
          <w:iCs w:val="false"/>
          <w:color w:val="666666"/>
          <w:sz w:val="24"/>
          <w:szCs w:val="24"/>
          <w:u w:val="single"/>
        </w:rPr>
        <w:t>wokasz@wp.pl</w:t>
      </w:r>
    </w:hyperlink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 xml:space="preserve"> 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000000"/>
        <w:sz w:val="12"/>
        <w:szCs w:val="12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000000"/>
        <w:sz w:val="12"/>
        <w:szCs w:val="12"/>
        <w:u w:val="single"/>
      </w:rPr>
      <w:t>______________________________________________________________________________________________________________________________________________________________________________________________________________________________________</w:t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none"/>
      </w:rPr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>kontakt - mgr inż. arch. Łukasz Wojtysiak, tel:  606 632 999, e-mail: wokasz@wp.pl</w: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</w:abstractNum>
  <w:abstractNum w:abstractNumId="2">
    <w:lvl w:ilvl="0">
      <w:start w:val="1"/>
      <w:numFmt w:val="bullet"/>
      <w:lvlText w:val=""/>
      <w:lvlJc w:val="start"/>
      <w:pPr>
        <w:tabs>
          <w:tab w:val="num" w:pos="0"/>
        </w:tabs>
        <w:ind w:start="72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start"/>
      <w:pPr>
        <w:tabs>
          <w:tab w:val="num" w:pos="1080"/>
        </w:tabs>
        <w:ind w:start="1080" w:hanging="360"/>
      </w:pPr>
      <w:rPr/>
    </w:lvl>
    <w:lvl w:ilvl="2">
      <w:start w:val="1"/>
      <w:numFmt w:val="decimal"/>
      <w:lvlText w:val="%3."/>
      <w:lvlJc w:val="start"/>
      <w:pPr>
        <w:tabs>
          <w:tab w:val="num" w:pos="1440"/>
        </w:tabs>
        <w:ind w:start="1440" w:hanging="360"/>
      </w:pPr>
      <w:rPr/>
    </w:lvl>
    <w:lvl w:ilvl="3">
      <w:start w:val="1"/>
      <w:numFmt w:val="decimal"/>
      <w:lvlText w:val="%4."/>
      <w:lvlJc w:val="start"/>
      <w:pPr>
        <w:tabs>
          <w:tab w:val="num" w:pos="1800"/>
        </w:tabs>
        <w:ind w:start="1800" w:hanging="360"/>
      </w:pPr>
      <w:rPr/>
    </w:lvl>
    <w:lvl w:ilvl="4">
      <w:start w:val="1"/>
      <w:numFmt w:val="decimal"/>
      <w:lvlText w:val="%5."/>
      <w:lvlJc w:val="start"/>
      <w:pPr>
        <w:tabs>
          <w:tab w:val="num" w:pos="2160"/>
        </w:tabs>
        <w:ind w:start="2160" w:hanging="360"/>
      </w:pPr>
      <w:rPr/>
    </w:lvl>
    <w:lvl w:ilvl="5">
      <w:start w:val="1"/>
      <w:numFmt w:val="decimal"/>
      <w:lvlText w:val="%6."/>
      <w:lvlJc w:val="start"/>
      <w:pPr>
        <w:tabs>
          <w:tab w:val="num" w:pos="2520"/>
        </w:tabs>
        <w:ind w:start="2520" w:hanging="360"/>
      </w:pPr>
      <w:rPr/>
    </w:lvl>
    <w:lvl w:ilvl="6">
      <w:start w:val="1"/>
      <w:numFmt w:val="decimal"/>
      <w:lvlText w:val="%7."/>
      <w:lvlJc w:val="start"/>
      <w:pPr>
        <w:tabs>
          <w:tab w:val="num" w:pos="2880"/>
        </w:tabs>
        <w:ind w:start="2880" w:hanging="360"/>
      </w:pPr>
      <w:rPr/>
    </w:lvl>
    <w:lvl w:ilvl="7">
      <w:start w:val="1"/>
      <w:numFmt w:val="decimal"/>
      <w:lvlText w:val="%8."/>
      <w:lvlJc w:val="start"/>
      <w:pPr>
        <w:tabs>
          <w:tab w:val="num" w:pos="3240"/>
        </w:tabs>
        <w:ind w:start="3240" w:hanging="360"/>
      </w:pPr>
      <w:rPr/>
    </w:lvl>
    <w:lvl w:ilvl="8">
      <w:start w:val="1"/>
      <w:numFmt w:val="decimal"/>
      <w:lvlText w:val="%9."/>
      <w:lvlJc w:val="start"/>
      <w:pPr>
        <w:tabs>
          <w:tab w:val="num" w:pos="3600"/>
        </w:tabs>
        <w:ind w:start="3600" w:hanging="360"/>
      </w:pPr>
      <w:rPr/>
    </w:lvl>
  </w:abstractNum>
  <w:abstractNum w:abstractNumId="3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100"/>
  <w:displayBackgroundShape/>
  <w:defaultTabStop w:val="708"/>
  <w:autoHyphenation w:val="true"/>
  <w:compat>
    <w:doNotBreakWrappedTables/>
    <w:compatSetting w:name="compatibilityMode" w:uri="http://schemas.microsoft.com/office/word" w:val="11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Arial"/>
        <w:sz w:val="24"/>
        <w:szCs w:val="24"/>
        <w:lang w:val="pl-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bidi w:val="0"/>
      <w:spacing w:before="0" w:after="0"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zh-CN" w:bidi="ar-SA"/>
    </w:rPr>
  </w:style>
  <w:style w:type="paragraph" w:styleId="Heading1">
    <w:name w:val="Heading 1"/>
    <w:basedOn w:val="Normal"/>
    <w:next w:val="Normal"/>
    <w:qFormat/>
    <w:pPr>
      <w:keepNext w:val="true"/>
      <w:numPr>
        <w:ilvl w:val="0"/>
        <w:numId w:val="1"/>
      </w:numPr>
      <w:suppressAutoHyphens w:val="false"/>
      <w:jc w:val="start"/>
      <w:outlineLvl w:val="0"/>
    </w:pPr>
    <w:rPr>
      <w:rFonts w:ascii="Arial" w:hAnsi="Arial"/>
      <w:b/>
      <w:bCs/>
      <w:caps/>
      <w:sz w:val="24"/>
      <w:u w:val="single"/>
    </w:rPr>
  </w:style>
  <w:style w:type="paragraph" w:styleId="Heading2">
    <w:name w:val="Heading 2"/>
    <w:basedOn w:val="Normal"/>
    <w:next w:val="Normal"/>
    <w:qFormat/>
    <w:pPr>
      <w:keepNext w:val="true"/>
      <w:numPr>
        <w:ilvl w:val="1"/>
        <w:numId w:val="1"/>
      </w:numPr>
      <w:suppressAutoHyphens w:val="false"/>
      <w:jc w:val="start"/>
      <w:outlineLvl w:val="1"/>
    </w:pPr>
    <w:rPr>
      <w:rFonts w:ascii="Arial" w:hAnsi="Arial"/>
      <w:b/>
      <w:sz w:val="24"/>
      <w:szCs w:val="20"/>
      <w:u w:val="none"/>
    </w:rPr>
  </w:style>
  <w:style w:type="paragraph" w:styleId="Heading3">
    <w:name w:val="Heading 3"/>
    <w:basedOn w:val="Normal"/>
    <w:next w:val="Normal"/>
    <w:qFormat/>
    <w:pPr>
      <w:keepNext w:val="true"/>
      <w:numPr>
        <w:ilvl w:val="2"/>
        <w:numId w:val="1"/>
      </w:numPr>
      <w:outlineLvl w:val="2"/>
    </w:pPr>
    <w:rPr>
      <w:sz w:val="28"/>
    </w:rPr>
  </w:style>
  <w:style w:type="paragraph" w:styleId="Heading4">
    <w:name w:val="Heading 4"/>
    <w:basedOn w:val="Normal"/>
    <w:next w:val="Normal"/>
    <w:qFormat/>
    <w:pPr>
      <w:keepNext w:val="true"/>
      <w:numPr>
        <w:ilvl w:val="3"/>
        <w:numId w:val="1"/>
      </w:numPr>
      <w:shd w:val="clear" w:fill="FFFFFF"/>
      <w:tabs>
        <w:tab w:val="clear" w:pos="708"/>
        <w:tab w:val="left" w:pos="0" w:leader="none"/>
      </w:tabs>
      <w:ind w:hanging="0" w:start="0" w:end="72"/>
      <w:jc w:val="both"/>
      <w:outlineLvl w:val="3"/>
    </w:pPr>
    <w:rPr>
      <w:rFonts w:ascii="Arial" w:hAnsi="Arial" w:cs="Arial"/>
      <w:b/>
      <w:bCs/>
    </w:rPr>
  </w:style>
  <w:style w:type="paragraph" w:styleId="Heading5">
    <w:name w:val="Heading 5"/>
    <w:basedOn w:val="Normal"/>
    <w:next w:val="Normal"/>
    <w:qFormat/>
    <w:pPr>
      <w:keepNext w:val="true"/>
      <w:numPr>
        <w:ilvl w:val="4"/>
        <w:numId w:val="1"/>
      </w:numPr>
      <w:jc w:val="center"/>
      <w:outlineLvl w:val="4"/>
    </w:pPr>
    <w:rPr>
      <w:szCs w:val="20"/>
    </w:rPr>
  </w:style>
  <w:style w:type="paragraph" w:styleId="Heading6">
    <w:name w:val="Heading 6"/>
    <w:basedOn w:val="Normal"/>
    <w:next w:val="Normal"/>
    <w:qFormat/>
    <w:pPr>
      <w:keepNext w:val="true"/>
      <w:numPr>
        <w:ilvl w:val="5"/>
        <w:numId w:val="1"/>
      </w:numPr>
      <w:shd w:val="clear" w:fill="FFFFFF"/>
      <w:ind w:hanging="0" w:start="1123" w:end="0"/>
      <w:jc w:val="both"/>
      <w:outlineLvl w:val="5"/>
    </w:pPr>
    <w:rPr>
      <w:b/>
      <w:bCs/>
      <w:sz w:val="32"/>
    </w:rPr>
  </w:style>
  <w:style w:type="paragraph" w:styleId="Heading7">
    <w:name w:val="Heading 7"/>
    <w:basedOn w:val="Normal"/>
    <w:next w:val="Normal"/>
    <w:qFormat/>
    <w:pPr>
      <w:keepNext w:val="true"/>
      <w:numPr>
        <w:ilvl w:val="6"/>
        <w:numId w:val="1"/>
      </w:numPr>
      <w:outlineLvl w:val="6"/>
    </w:pPr>
    <w:rPr>
      <w:rFonts w:ascii="Arial" w:hAnsi="Arial" w:cs="Arial"/>
      <w:b/>
      <w:bCs/>
      <w:i/>
      <w:iCs/>
      <w:u w:val="single"/>
    </w:rPr>
  </w:style>
  <w:style w:type="paragraph" w:styleId="Heading8">
    <w:name w:val="Heading 8"/>
    <w:basedOn w:val="Normal"/>
    <w:next w:val="Normal"/>
    <w:qFormat/>
    <w:pPr>
      <w:keepNext w:val="true"/>
      <w:numPr>
        <w:ilvl w:val="7"/>
        <w:numId w:val="1"/>
      </w:numPr>
      <w:jc w:val="both"/>
      <w:outlineLvl w:val="7"/>
    </w:pPr>
    <w:rPr>
      <w:rFonts w:ascii="Arial" w:hAnsi="Arial" w:cs="Arial"/>
      <w:b/>
      <w:bCs/>
      <w:i/>
      <w:iCs/>
    </w:rPr>
  </w:style>
  <w:style w:type="paragraph" w:styleId="Heading9">
    <w:name w:val="Heading 9"/>
    <w:basedOn w:val="Normal"/>
    <w:next w:val="Normal"/>
    <w:qFormat/>
    <w:pPr>
      <w:keepNext w:val="true"/>
      <w:numPr>
        <w:ilvl w:val="8"/>
        <w:numId w:val="1"/>
      </w:numPr>
      <w:jc w:val="both"/>
      <w:outlineLvl w:val="8"/>
    </w:pPr>
    <w:rPr>
      <w:rFonts w:ascii="Arial" w:hAnsi="Arial" w:cs="Arial"/>
      <w:i/>
      <w:iCs/>
      <w:sz w:val="28"/>
      <w:lang w:val="de-DE"/>
    </w:rPr>
  </w:style>
  <w:style w:type="character" w:styleId="WW8Num2z0">
    <w:name w:val="WW8Num2z0"/>
    <w:qFormat/>
    <w:rPr>
      <w:rFonts w:ascii="Symbol" w:hAnsi="Symbol" w:cs="OpenSymbol;Arial Unicode MS"/>
    </w:rPr>
  </w:style>
  <w:style w:type="character" w:styleId="WW8Num2z1">
    <w:name w:val="WW8Num2z1"/>
    <w:qFormat/>
    <w:rPr>
      <w:rFonts w:ascii="OpenSymbol;Arial Unicode MS" w:hAnsi="OpenSymbol;Arial Unicode MS" w:cs="OpenSymbol;Arial Unicode MS"/>
      <w:b/>
      <w:bCs/>
    </w:rPr>
  </w:style>
  <w:style w:type="character" w:styleId="WW8Num2z2">
    <w:name w:val="WW8Num2z2"/>
    <w:qFormat/>
    <w:rPr>
      <w:rFonts w:ascii="Wingdings" w:hAnsi="Wingdings" w:cs="Wingdings"/>
    </w:rPr>
  </w:style>
  <w:style w:type="character" w:styleId="WW8Num2z3">
    <w:name w:val="WW8Num2z3"/>
    <w:qFormat/>
    <w:rPr>
      <w:rFonts w:cs="Times New Roman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000000"/>
      <w:spacing w:val="0"/>
      <w:kern w:val="0"/>
      <w:position w:val="0"/>
      <w:sz w:val="24"/>
      <w:sz w:val="24"/>
      <w:u w:val="none"/>
      <w:vertAlign w:val="baseline"/>
      <w:em w:val="none"/>
    </w:rPr>
  </w:style>
  <w:style w:type="character" w:styleId="WW8Num3z0">
    <w:name w:val="WW8Num3z0"/>
    <w:qFormat/>
    <w:rPr>
      <w:rFonts w:ascii="Symbol" w:hAnsi="Symbol" w:cs="OpenSymbol;Arial Unicode MS"/>
    </w:rPr>
  </w:style>
  <w:style w:type="character" w:styleId="WW8Num4z0">
    <w:name w:val="WW8Num4z0"/>
    <w:qFormat/>
    <w:rPr>
      <w:rFonts w:ascii="Symbol" w:hAnsi="Symbol" w:cs="OpenSymbol;Arial Unicode MS"/>
    </w:rPr>
  </w:style>
  <w:style w:type="character" w:styleId="WW8Num3z1">
    <w:name w:val="WW8Num3z1"/>
    <w:qFormat/>
    <w:rPr>
      <w:rFonts w:ascii="Courier New" w:hAnsi="Courier New" w:cs="OpenSymbol;Arial Unicode MS"/>
    </w:rPr>
  </w:style>
  <w:style w:type="character" w:styleId="WW8Num3z2">
    <w:name w:val="WW8Num3z2"/>
    <w:qFormat/>
    <w:rPr>
      <w:rFonts w:ascii="Wingdings" w:hAnsi="Wingdings" w:cs="Wingdings"/>
    </w:rPr>
  </w:style>
  <w:style w:type="character" w:styleId="WW8Num4z1">
    <w:name w:val="WW8Num4z1"/>
    <w:qFormat/>
    <w:rPr>
      <w:rFonts w:ascii="OpenSymbol;Arial Unicode MS" w:hAnsi="OpenSymbol;Arial Unicode MS" w:cs="OpenSymbol;Arial Unicode MS"/>
    </w:rPr>
  </w:style>
  <w:style w:type="character" w:styleId="WW8Num5z0">
    <w:name w:val="WW8Num5z0"/>
    <w:qFormat/>
    <w:rPr>
      <w:rFonts w:ascii="Symbol" w:hAnsi="Symbol" w:cs="OpenSymbol;Arial Unicode MS"/>
    </w:rPr>
  </w:style>
  <w:style w:type="character" w:styleId="WW8Num5z1">
    <w:name w:val="WW8Num5z1"/>
    <w:qFormat/>
    <w:rPr>
      <w:rFonts w:ascii="OpenSymbol;Arial Unicode MS" w:hAnsi="OpenSymbol;Arial Unicode MS" w:cs="OpenSymbol;Arial Unicode MS"/>
    </w:rPr>
  </w:style>
  <w:style w:type="character" w:styleId="WW8Num6z0">
    <w:name w:val="WW8Num6z0"/>
    <w:qFormat/>
    <w:rPr>
      <w:rFonts w:ascii="Symbol" w:hAnsi="Symbol" w:cs="OpenSymbol;Arial Unicode MS"/>
    </w:rPr>
  </w:style>
  <w:style w:type="character" w:styleId="WW8Num6z1">
    <w:name w:val="WW8Num6z1"/>
    <w:qFormat/>
    <w:rPr>
      <w:rFonts w:ascii="OpenSymbol;Arial Unicode MS" w:hAnsi="OpenSymbol;Arial Unicode MS" w:cs="OpenSymbol;Arial Unicode MS"/>
    </w:rPr>
  </w:style>
  <w:style w:type="character" w:styleId="WW8Num8z0">
    <w:name w:val="WW8Num8z0"/>
    <w:qFormat/>
    <w:rPr>
      <w:rFonts w:ascii="Symbol" w:hAnsi="Symbol" w:cs="OpenSymbol;Arial Unicode MS"/>
    </w:rPr>
  </w:style>
  <w:style w:type="character" w:styleId="WW8Num8z1">
    <w:name w:val="WW8Num8z1"/>
    <w:qFormat/>
    <w:rPr>
      <w:rFonts w:ascii="OpenSymbol;Arial Unicode MS" w:hAnsi="OpenSymbol;Arial Unicode MS" w:cs="OpenSymbol;Arial Unicode MS"/>
    </w:rPr>
  </w:style>
  <w:style w:type="character" w:styleId="WW8Num7z0">
    <w:name w:val="WW8Num7z0"/>
    <w:qFormat/>
    <w:rPr>
      <w:rFonts w:ascii="Symbol" w:hAnsi="Symbol" w:cs="OpenSymbol;Arial Unicode MS"/>
    </w:rPr>
  </w:style>
  <w:style w:type="character" w:styleId="WW8Num7z1">
    <w:name w:val="WW8Num7z1"/>
    <w:qFormat/>
    <w:rPr>
      <w:rFonts w:ascii="OpenSymbol;Arial Unicode MS" w:hAnsi="OpenSymbol;Arial Unicode MS" w:cs="OpenSymbol;Arial Unicode MS"/>
    </w:rPr>
  </w:style>
  <w:style w:type="character" w:styleId="WW8Num1z0">
    <w:name w:val="WW8Num1z0"/>
    <w:qFormat/>
    <w:rPr>
      <w:rFonts w:ascii="Times New Roman" w:hAnsi="Times New Roman" w:cs="Times New Roman"/>
    </w:rPr>
  </w:style>
  <w:style w:type="character" w:styleId="WW8Num7z2">
    <w:name w:val="WW8Num7z2"/>
    <w:qFormat/>
    <w:rPr>
      <w:rFonts w:ascii="Wingdings" w:hAnsi="Wingdings" w:cs="Wingdings"/>
    </w:rPr>
  </w:style>
  <w:style w:type="character" w:styleId="WW8Num7z3">
    <w:name w:val="WW8Num7z3"/>
    <w:qFormat/>
    <w:rPr>
      <w:rFonts w:ascii="Symbol" w:hAnsi="Symbol" w:cs="Symbol"/>
    </w:rPr>
  </w:style>
  <w:style w:type="character" w:styleId="WW8Num9z0">
    <w:name w:val="WW8Num9z0"/>
    <w:qFormat/>
    <w:rPr>
      <w:rFonts w:ascii="Wingdings" w:hAnsi="Wingdings" w:cs="Wingdings"/>
    </w:rPr>
  </w:style>
  <w:style w:type="character" w:styleId="WW8Num9z1">
    <w:name w:val="WW8Num9z1"/>
    <w:qFormat/>
    <w:rPr>
      <w:rFonts w:ascii="Courier New" w:hAnsi="Courier New" w:cs="Courier New"/>
    </w:rPr>
  </w:style>
  <w:style w:type="character" w:styleId="WW8Num9z3">
    <w:name w:val="WW8Num9z3"/>
    <w:qFormat/>
    <w:rPr>
      <w:rFonts w:ascii="Symbol" w:hAnsi="Symbol" w:cs="Symbol"/>
    </w:rPr>
  </w:style>
  <w:style w:type="character" w:styleId="WW8Num10z0">
    <w:name w:val="WW8Num10z0"/>
    <w:qFormat/>
    <w:rPr>
      <w:rFonts w:ascii="Symbol" w:hAnsi="Symbol" w:cs="Symbol"/>
    </w:rPr>
  </w:style>
  <w:style w:type="character" w:styleId="WW8Num10z1">
    <w:name w:val="WW8Num10z1"/>
    <w:qFormat/>
    <w:rPr>
      <w:rFonts w:ascii="Courier New" w:hAnsi="Courier New" w:cs="Courier New"/>
    </w:rPr>
  </w:style>
  <w:style w:type="character" w:styleId="WW8Num10z2">
    <w:name w:val="WW8Num10z2"/>
    <w:qFormat/>
    <w:rPr>
      <w:rFonts w:ascii="Wingdings" w:hAnsi="Wingdings" w:cs="Wingdings"/>
    </w:rPr>
  </w:style>
  <w:style w:type="character" w:styleId="WW8Num11z0">
    <w:name w:val="WW8Num11z0"/>
    <w:qFormat/>
    <w:rPr/>
  </w:style>
  <w:style w:type="character" w:styleId="WW8Num12z0">
    <w:name w:val="WW8Num12z0"/>
    <w:qFormat/>
    <w:rPr>
      <w:b/>
    </w:rPr>
  </w:style>
  <w:style w:type="character" w:styleId="WW8Num13z0">
    <w:name w:val="WW8Num13z0"/>
    <w:qFormat/>
    <w:rPr/>
  </w:style>
  <w:style w:type="character" w:styleId="WW8Num14z0">
    <w:name w:val="WW8Num14z0"/>
    <w:qFormat/>
    <w:rPr/>
  </w:style>
  <w:style w:type="character" w:styleId="WW8Num15z0">
    <w:name w:val="WW8Num15z0"/>
    <w:qFormat/>
    <w:rPr/>
  </w:style>
  <w:style w:type="character" w:styleId="WW8Num16z0">
    <w:name w:val="WW8Num16z0"/>
    <w:qFormat/>
    <w:rPr/>
  </w:style>
  <w:style w:type="character" w:styleId="WW8Num17z0">
    <w:name w:val="WW8Num17z0"/>
    <w:qFormat/>
    <w:rPr>
      <w:rFonts w:ascii="Symbol" w:hAnsi="Symbol" w:cs="Symbol"/>
    </w:rPr>
  </w:style>
  <w:style w:type="character" w:styleId="WW8Num17z1">
    <w:name w:val="WW8Num17z1"/>
    <w:qFormat/>
    <w:rPr>
      <w:rFonts w:ascii="Courier New" w:hAnsi="Courier New" w:cs="Courier New"/>
    </w:rPr>
  </w:style>
  <w:style w:type="character" w:styleId="WW8Num17z2">
    <w:name w:val="WW8Num17z2"/>
    <w:qFormat/>
    <w:rPr>
      <w:rFonts w:ascii="Wingdings" w:hAnsi="Wingdings" w:cs="Wingdings"/>
    </w:rPr>
  </w:style>
  <w:style w:type="character" w:styleId="WW8Num18z0">
    <w:name w:val="WW8Num18z0"/>
    <w:qFormat/>
    <w:rPr/>
  </w:style>
  <w:style w:type="character" w:styleId="WW8Num19z0">
    <w:name w:val="WW8Num19z0"/>
    <w:qFormat/>
    <w:rPr/>
  </w:style>
  <w:style w:type="character" w:styleId="WW8Num20z0">
    <w:name w:val="WW8Num20z0"/>
    <w:qFormat/>
    <w:rPr/>
  </w:style>
  <w:style w:type="character" w:styleId="WW8Num21z0">
    <w:name w:val="WW8Num21z0"/>
    <w:qFormat/>
    <w:rPr>
      <w:rFonts w:ascii="Arial" w:hAnsi="Arial" w:eastAsia="Arial" w:cs="Arial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2"/>
      <w:sz w:val="22"/>
      <w:szCs w:val="22"/>
      <w:u w:val="none"/>
      <w:vertAlign w:val="baseline"/>
      <w:lang w:val="pl-PL" w:bidi="pl-PL"/>
    </w:rPr>
  </w:style>
  <w:style w:type="character" w:styleId="WW8Num22z0">
    <w:name w:val="WW8Num22z0"/>
    <w:qFormat/>
    <w:rPr/>
  </w:style>
  <w:style w:type="character" w:styleId="WW8Num23z0">
    <w:name w:val="WW8Num23z0"/>
    <w:qFormat/>
    <w:rPr>
      <w:rFonts w:ascii="Arial" w:hAnsi="Arial" w:eastAsia="Times New Roman" w:cs="Arial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2"/>
      <w:sz w:val="22"/>
      <w:szCs w:val="22"/>
      <w:u w:val="none"/>
      <w:vertAlign w:val="baseline"/>
      <w:lang w:val="pl-PL" w:bidi="pl-PL"/>
    </w:rPr>
  </w:style>
  <w:style w:type="character" w:styleId="WW8Num24z0">
    <w:name w:val="WW8Num24z0"/>
    <w:qFormat/>
    <w:rPr/>
  </w:style>
  <w:style w:type="character" w:styleId="WW8Num25z0">
    <w:name w:val="WW8Num25z0"/>
    <w:qFormat/>
    <w:rPr/>
  </w:style>
  <w:style w:type="character" w:styleId="WW8Num26z0">
    <w:name w:val="WW8Num26z0"/>
    <w:qFormat/>
    <w:rPr/>
  </w:style>
  <w:style w:type="character" w:styleId="WW8Num27z0">
    <w:name w:val="WW8Num27z0"/>
    <w:qFormat/>
    <w:rPr/>
  </w:style>
  <w:style w:type="character" w:styleId="WW8Num27z1">
    <w:name w:val="WW8Num27z1"/>
    <w:qFormat/>
    <w:rPr>
      <w:rFonts w:ascii="Wingdings" w:hAnsi="Wingdings" w:cs="Wingdings"/>
    </w:rPr>
  </w:style>
  <w:style w:type="character" w:styleId="WW8Num28z0">
    <w:name w:val="WW8Num28z0"/>
    <w:qFormat/>
    <w:rPr/>
  </w:style>
  <w:style w:type="character" w:styleId="WW8Num29z0">
    <w:name w:val="WW8Num29z0"/>
    <w:qFormat/>
    <w:rPr/>
  </w:style>
  <w:style w:type="character" w:styleId="WW8Num30z0">
    <w:name w:val="WW8Num30z0"/>
    <w:qFormat/>
    <w:rPr>
      <w:rFonts w:ascii="Symbol" w:hAnsi="Symbol" w:cs="Symbol"/>
      <w:b/>
      <w:i w:val="false"/>
    </w:rPr>
  </w:style>
  <w:style w:type="character" w:styleId="WW8Num30z1">
    <w:name w:val="WW8Num30z1"/>
    <w:qFormat/>
    <w:rPr>
      <w:rFonts w:ascii="Courier New" w:hAnsi="Courier New" w:cs="Courier New"/>
    </w:rPr>
  </w:style>
  <w:style w:type="character" w:styleId="WW8Num30z2">
    <w:name w:val="WW8Num30z2"/>
    <w:qFormat/>
    <w:rPr>
      <w:rFonts w:ascii="Wingdings" w:hAnsi="Wingdings" w:cs="Wingdings"/>
    </w:rPr>
  </w:style>
  <w:style w:type="character" w:styleId="WW8Num30z3">
    <w:name w:val="WW8Num30z3"/>
    <w:qFormat/>
    <w:rPr>
      <w:rFonts w:ascii="Symbol" w:hAnsi="Symbol" w:cs="Symbol"/>
    </w:rPr>
  </w:style>
  <w:style w:type="character" w:styleId="WW8Num31z0">
    <w:name w:val="WW8Num31z0"/>
    <w:qFormat/>
    <w:rPr>
      <w:rFonts w:ascii="Symbol" w:hAnsi="Symbol" w:cs="Symbol"/>
    </w:rPr>
  </w:style>
  <w:style w:type="character" w:styleId="WW8Num31z1">
    <w:name w:val="WW8Num31z1"/>
    <w:qFormat/>
    <w:rPr>
      <w:rFonts w:ascii="Courier New" w:hAnsi="Courier New" w:cs="Courier New"/>
    </w:rPr>
  </w:style>
  <w:style w:type="character" w:styleId="WW8Num31z2">
    <w:name w:val="WW8Num31z2"/>
    <w:qFormat/>
    <w:rPr>
      <w:rFonts w:ascii="Wingdings" w:hAnsi="Wingdings" w:cs="Wingdings"/>
    </w:rPr>
  </w:style>
  <w:style w:type="character" w:styleId="WW8Num32z0">
    <w:name w:val="WW8Num32z0"/>
    <w:qFormat/>
    <w:rPr>
      <w:color w:val="000000"/>
    </w:rPr>
  </w:style>
  <w:style w:type="character" w:styleId="WW8Num33z0">
    <w:name w:val="WW8Num33z0"/>
    <w:qFormat/>
    <w:rPr/>
  </w:style>
  <w:style w:type="character" w:styleId="WW8Num34z0">
    <w:name w:val="WW8Num34z0"/>
    <w:qFormat/>
    <w:rPr/>
  </w:style>
  <w:style w:type="character" w:styleId="WW8Num35z0">
    <w:name w:val="WW8Num35z0"/>
    <w:qFormat/>
    <w:rPr/>
  </w:style>
  <w:style w:type="character" w:styleId="WW8Num36z0">
    <w:name w:val="WW8Num36z0"/>
    <w:qFormat/>
    <w:rPr>
      <w:rFonts w:ascii="Arial" w:hAnsi="Arial" w:eastAsia="Times New Roman" w:cs="Arial"/>
    </w:rPr>
  </w:style>
  <w:style w:type="character" w:styleId="WW8Num37z0">
    <w:name w:val="WW8Num37z0"/>
    <w:qFormat/>
    <w:rPr/>
  </w:style>
  <w:style w:type="character" w:styleId="WW8Num38z0">
    <w:name w:val="WW8Num38z0"/>
    <w:qFormat/>
    <w:rPr>
      <w:b/>
      <w:i w:val="false"/>
    </w:rPr>
  </w:style>
  <w:style w:type="character" w:styleId="WW8Num38z1">
    <w:name w:val="WW8Num38z1"/>
    <w:qFormat/>
    <w:rPr>
      <w:rFonts w:ascii="Symbol" w:hAnsi="Symbol" w:cs="Symbol"/>
      <w:b/>
      <w:i w:val="false"/>
    </w:rPr>
  </w:style>
  <w:style w:type="character" w:styleId="WW8Num38z2">
    <w:name w:val="WW8Num38z2"/>
    <w:qFormat/>
    <w:rPr/>
  </w:style>
  <w:style w:type="character" w:styleId="WW8Num39z0">
    <w:name w:val="WW8Num39z0"/>
    <w:qFormat/>
    <w:rPr>
      <w:rFonts w:ascii="Symbol" w:hAnsi="Symbol" w:cs="Symbol"/>
    </w:rPr>
  </w:style>
  <w:style w:type="character" w:styleId="WW8Num39z1">
    <w:name w:val="WW8Num39z1"/>
    <w:qFormat/>
    <w:rPr>
      <w:rFonts w:ascii="Courier New" w:hAnsi="Courier New" w:cs="Courier New"/>
    </w:rPr>
  </w:style>
  <w:style w:type="character" w:styleId="WW8Num39z2">
    <w:name w:val="WW8Num39z2"/>
    <w:qFormat/>
    <w:rPr>
      <w:rFonts w:ascii="Wingdings" w:hAnsi="Wingdings" w:cs="Wingdings"/>
    </w:rPr>
  </w:style>
  <w:style w:type="character" w:styleId="Domylnaczcionkaakapitu">
    <w:name w:val="Domyślna czcionka akapitu"/>
    <w:qFormat/>
    <w:rPr/>
  </w:style>
  <w:style w:type="character" w:styleId="NagwekZnak">
    <w:name w:val="Nagłówek Znak"/>
    <w:qFormat/>
    <w:rPr>
      <w:sz w:val="24"/>
      <w:szCs w:val="24"/>
    </w:rPr>
  </w:style>
  <w:style w:type="character" w:styleId="Znakiwypunktowania">
    <w:name w:val="Znaki wypunktowania"/>
    <w:qFormat/>
    <w:rPr>
      <w:rFonts w:ascii="OpenSymbol;Arial Unicode MS" w:hAnsi="OpenSymbol;Arial Unicode MS" w:eastAsia="OpenSymbol;Arial Unicode MS" w:cs="OpenSymbol;Arial Unicode MS"/>
    </w:rPr>
  </w:style>
  <w:style w:type="character" w:styleId="Znakinumeracji">
    <w:name w:val="Znaki numeracji"/>
    <w:qFormat/>
    <w:rPr/>
  </w:style>
  <w:style w:type="character" w:styleId="Hyperlink">
    <w:name w:val="Hyperlink"/>
    <w:rPr>
      <w:color w:val="000080"/>
      <w:u w:val="single"/>
    </w:rPr>
  </w:style>
  <w:style w:type="character" w:styleId="WW8Num5z2">
    <w:name w:val="WW8Num5z2"/>
    <w:qFormat/>
    <w:rPr>
      <w:rFonts w:ascii="Wingdings" w:hAnsi="Wingdings" w:cs="Wingdings"/>
    </w:rPr>
  </w:style>
  <w:style w:type="character" w:styleId="WW8Num6z2">
    <w:name w:val="WW8Num6z2"/>
    <w:qFormat/>
    <w:rPr>
      <w:rFonts w:ascii="Wingdings" w:hAnsi="Wingdings" w:cs="Wingdings"/>
    </w:rPr>
  </w:style>
  <w:style w:type="character" w:styleId="WW8Num18z1">
    <w:name w:val="WW8Num18z1"/>
    <w:qFormat/>
    <w:rPr>
      <w:rFonts w:ascii="Courier New" w:hAnsi="Courier New" w:cs="Courier New"/>
    </w:rPr>
  </w:style>
  <w:style w:type="character" w:styleId="WW8Num18z2">
    <w:name w:val="WW8Num18z2"/>
    <w:qFormat/>
    <w:rPr>
      <w:rFonts w:ascii="Wingdings" w:hAnsi="Wingdings" w:cs="Wingdings"/>
    </w:rPr>
  </w:style>
  <w:style w:type="character" w:styleId="WW8Num6z3">
    <w:name w:val="WW8Num6z3"/>
    <w:qFormat/>
    <w:rPr>
      <w:rFonts w:cs="Times New Roman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000000"/>
      <w:spacing w:val="0"/>
      <w:kern w:val="0"/>
      <w:position w:val="0"/>
      <w:sz w:val="24"/>
      <w:sz w:val="24"/>
      <w:u w:val="none"/>
      <w:vertAlign w:val="baseline"/>
      <w:em w:val="none"/>
    </w:rPr>
  </w:style>
  <w:style w:type="character" w:styleId="WW8Num8z2">
    <w:name w:val="WW8Num8z2"/>
    <w:qFormat/>
    <w:rPr>
      <w:rFonts w:cs="Times New Roman"/>
      <w:b/>
      <w:bCs w:val="false"/>
      <w:i w:val="false"/>
      <w:iCs w:val="false"/>
      <w:caps w:val="false"/>
      <w:smallCaps w:val="false"/>
      <w:strike w:val="false"/>
      <w:dstrike w:val="false"/>
      <w:vanish w:val="false"/>
      <w:color w:val="000000"/>
      <w:spacing w:val="0"/>
      <w:kern w:val="0"/>
      <w:position w:val="0"/>
      <w:sz w:val="24"/>
      <w:sz w:val="24"/>
      <w:u w:val="none"/>
      <w:vertAlign w:val="baseline"/>
      <w:em w:val="none"/>
    </w:rPr>
  </w:style>
  <w:style w:type="character" w:styleId="WW8Num8z3">
    <w:name w:val="WW8Num8z3"/>
    <w:qFormat/>
    <w:rPr>
      <w:rFonts w:cs="Times New Roman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000000"/>
      <w:spacing w:val="0"/>
      <w:kern w:val="0"/>
      <w:position w:val="0"/>
      <w:sz w:val="24"/>
      <w:sz w:val="24"/>
      <w:u w:val="none"/>
      <w:vertAlign w:val="baseline"/>
      <w:em w:val="none"/>
    </w:rPr>
  </w:style>
  <w:style w:type="character" w:styleId="Strong">
    <w:name w:val="Strong"/>
    <w:qFormat/>
    <w:rPr>
      <w:b/>
      <w:bCs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;Arial" w:hAnsi="Liberation Sans;Arial" w:eastAsia="Microsoft YaHei" w:cs="Arial"/>
      <w:sz w:val="28"/>
      <w:szCs w:val="28"/>
    </w:rPr>
  </w:style>
  <w:style w:type="paragraph" w:styleId="BodyText">
    <w:name w:val="Body Text"/>
    <w:basedOn w:val="Normal"/>
    <w:pPr>
      <w:suppressAutoHyphens w:val="true"/>
    </w:pPr>
    <w:rPr>
      <w:rFonts w:ascii="Arial" w:hAnsi="Arial" w:cs="Arial"/>
      <w:szCs w:val="20"/>
    </w:rPr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Arial"/>
    </w:rPr>
  </w:style>
  <w:style w:type="paragraph" w:styleId="Caption1">
    <w:name w:val="Caption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">
    <w:name w:val="Caption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">
    <w:name w:val="Caption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">
    <w:name w:val="Caption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">
    <w:name w:val="Caption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">
    <w:name w:val="Caption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">
    <w:name w:val="Caption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">
    <w:name w:val="Caption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">
    <w:name w:val="Caption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">
    <w:name w:val="Caption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">
    <w:name w:val="Caption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">
    <w:name w:val="Caption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">
    <w:name w:val="Caption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">
    <w:name w:val="Caption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">
    <w:name w:val="Caption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">
    <w:name w:val="Caption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">
    <w:name w:val="Caption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">
    <w:name w:val="Caption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">
    <w:name w:val="Caption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">
    <w:name w:val="Caption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">
    <w:name w:val="Caption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">
    <w:name w:val="Caption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">
    <w:name w:val="Caption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">
    <w:name w:val="Caption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">
    <w:name w:val="Caption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">
    <w:name w:val="Caption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">
    <w:name w:val="Caption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">
    <w:name w:val="Caption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">
    <w:name w:val="Caption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">
    <w:name w:val="Caption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">
    <w:name w:val="Caption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">
    <w:name w:val="Caption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">
    <w:name w:val="Caption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">
    <w:name w:val="Caption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">
    <w:name w:val="Caption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">
    <w:name w:val="Caption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">
    <w:name w:val="Caption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">
    <w:name w:val="Caption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">
    <w:name w:val="Caption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">
    <w:name w:val="Caption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">
    <w:name w:val="Caption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">
    <w:name w:val="Caption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">
    <w:name w:val="Caption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">
    <w:name w:val="Caption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">
    <w:name w:val="Caption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">
    <w:name w:val="Caption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">
    <w:name w:val="Caption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">
    <w:name w:val="Caption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">
    <w:name w:val="Caption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">
    <w:name w:val="Caption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">
    <w:name w:val="Caption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">
    <w:name w:val="Caption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">
    <w:name w:val="Caption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">
    <w:name w:val="Caption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">
    <w:name w:val="Caption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">
    <w:name w:val="Caption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">
    <w:name w:val="Caption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">
    <w:name w:val="Caption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">
    <w:name w:val="Caption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">
    <w:name w:val="Caption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">
    <w:name w:val="Caption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">
    <w:name w:val="Caption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">
    <w:name w:val="Caption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">
    <w:name w:val="Caption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">
    <w:name w:val="Caption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">
    <w:name w:val="Caption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">
    <w:name w:val="Caption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">
    <w:name w:val="Caption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">
    <w:name w:val="Caption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">
    <w:name w:val="Caption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">
    <w:name w:val="Caption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">
    <w:name w:val="Caption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Gwkaistopka">
    <w:name w:val="Główka i stopka"/>
    <w:basedOn w:val="Normal"/>
    <w:qFormat/>
    <w:pPr>
      <w:suppressLineNumbers/>
      <w:tabs>
        <w:tab w:val="clear" w:pos="708"/>
        <w:tab w:val="center" w:pos="4819" w:leader="none"/>
        <w:tab w:val="right" w:pos="9638" w:leader="none"/>
      </w:tabs>
    </w:pPr>
    <w:rPr/>
  </w:style>
  <w:style w:type="paragraph" w:styleId="Header">
    <w:name w:val="Header"/>
    <w:basedOn w:val="Normal"/>
    <w:pPr>
      <w:tabs>
        <w:tab w:val="clear" w:pos="708"/>
        <w:tab w:val="center" w:pos="4536" w:leader="none"/>
        <w:tab w:val="right" w:pos="9072" w:leader="none"/>
      </w:tabs>
    </w:pPr>
    <w:rPr>
      <w:lang w:val="pl-PL"/>
    </w:rPr>
  </w:style>
  <w:style w:type="paragraph" w:styleId="Tekstpodstawowy2">
    <w:name w:val="Tekst podstawowy 2"/>
    <w:basedOn w:val="Normal"/>
    <w:qFormat/>
    <w:pPr>
      <w:jc w:val="both"/>
    </w:pPr>
    <w:rPr>
      <w:szCs w:val="20"/>
    </w:rPr>
  </w:style>
  <w:style w:type="paragraph" w:styleId="BodyTextIndent">
    <w:name w:val="Body Text Indent"/>
    <w:basedOn w:val="Normal"/>
    <w:pPr>
      <w:shd w:val="clear" w:fill="FFFFFF"/>
      <w:ind w:hanging="0" w:start="115" w:end="0"/>
    </w:pPr>
    <w:rPr>
      <w:color w:val="000000"/>
      <w:spacing w:val="-8"/>
      <w:sz w:val="25"/>
      <w:szCs w:val="25"/>
    </w:rPr>
  </w:style>
  <w:style w:type="paragraph" w:styleId="Tekstblokowy">
    <w:name w:val="Tekst blokowy"/>
    <w:basedOn w:val="Normal"/>
    <w:qFormat/>
    <w:pPr>
      <w:shd w:val="clear" w:fill="FFFFFF"/>
      <w:ind w:hanging="360" w:start="1080" w:end="922"/>
      <w:jc w:val="both"/>
    </w:pPr>
    <w:rPr>
      <w:color w:val="000000"/>
      <w:sz w:val="26"/>
      <w:szCs w:val="25"/>
    </w:rPr>
  </w:style>
  <w:style w:type="paragraph" w:styleId="Tekstpodstawowywcity2">
    <w:name w:val="Tekst podstawowy wcięty 2"/>
    <w:basedOn w:val="Normal"/>
    <w:qFormat/>
    <w:pPr>
      <w:ind w:firstLine="708" w:start="0" w:end="0"/>
      <w:jc w:val="both"/>
    </w:pPr>
    <w:rPr>
      <w:szCs w:val="20"/>
    </w:rPr>
  </w:style>
  <w:style w:type="paragraph" w:styleId="Tekstpodstawowy3">
    <w:name w:val="Tekst podstawowy 3"/>
    <w:basedOn w:val="Normal"/>
    <w:qFormat/>
    <w:pPr>
      <w:shd w:val="clear" w:fill="FFFFFF"/>
      <w:tabs>
        <w:tab w:val="clear" w:pos="708"/>
        <w:tab w:val="left" w:pos="9000" w:leader="none"/>
      </w:tabs>
      <w:ind w:hanging="0" w:start="0" w:end="72"/>
      <w:jc w:val="both"/>
    </w:pPr>
    <w:rPr>
      <w:rFonts w:ascii="Arial" w:hAnsi="Arial" w:cs="Arial"/>
      <w:b/>
      <w:bCs/>
      <w:color w:val="000000"/>
      <w:spacing w:val="-2"/>
      <w:sz w:val="26"/>
      <w:szCs w:val="29"/>
    </w:rPr>
  </w:style>
  <w:style w:type="paragraph" w:styleId="Tekstpodstawowywcity3">
    <w:name w:val="Tekst podstawowy wcięty 3"/>
    <w:basedOn w:val="Normal"/>
    <w:qFormat/>
    <w:pPr>
      <w:ind w:firstLine="708" w:start="0" w:end="0"/>
      <w:jc w:val="both"/>
    </w:pPr>
    <w:rPr>
      <w:rFonts w:ascii="Arial" w:hAnsi="Arial" w:cs="Arial"/>
      <w:i/>
      <w:iCs/>
    </w:rPr>
  </w:style>
  <w:style w:type="paragraph" w:styleId="Akapitzlist">
    <w:name w:val="Akapit z listą"/>
    <w:basedOn w:val="Normal"/>
    <w:qFormat/>
    <w:pPr>
      <w:ind w:hanging="0" w:start="708" w:end="0"/>
    </w:pPr>
    <w:rPr/>
  </w:style>
  <w:style w:type="paragraph" w:styleId="Tekstpodstawowywcity1">
    <w:name w:val="Tekst podstawowy wcięty1"/>
    <w:basedOn w:val="Normal"/>
    <w:qFormat/>
    <w:pPr>
      <w:suppressAutoHyphens w:val="true"/>
      <w:ind w:hanging="0" w:start="480" w:end="0"/>
    </w:pPr>
    <w:rPr>
      <w:rFonts w:ascii="Arial" w:hAnsi="Arial" w:cs="Arial"/>
    </w:rPr>
  </w:style>
  <w:style w:type="paragraph" w:styleId="Footer">
    <w:name w:val="Footer"/>
    <w:basedOn w:val="Gwkaistopka"/>
    <w:pPr>
      <w:suppressLineNumbers/>
      <w:tabs>
        <w:tab w:val="clear" w:pos="4819"/>
        <w:tab w:val="clear" w:pos="9638"/>
        <w:tab w:val="center" w:pos="4294" w:leader="none"/>
        <w:tab w:val="right" w:pos="8589" w:leader="none"/>
      </w:tabs>
    </w:pPr>
    <w:rPr/>
  </w:style>
  <w:style w:type="paragraph" w:styleId="Zawartotabeli">
    <w:name w:val="Zawartość tabeli"/>
    <w:basedOn w:val="Normal"/>
    <w:qFormat/>
    <w:pPr>
      <w:widowControl w:val="false"/>
      <w:suppressLineNumbers/>
    </w:pPr>
    <w:rPr/>
  </w:style>
  <w:style w:type="paragraph" w:styleId="Nagwektabeli">
    <w:name w:val="Nagłówek tabeli"/>
    <w:basedOn w:val="Zawartotabeli"/>
    <w:qFormat/>
    <w:pPr>
      <w:suppressLineNumbers/>
      <w:jc w:val="center"/>
    </w:pPr>
    <w:rPr>
      <w:b/>
      <w:bCs/>
    </w:rPr>
  </w:style>
  <w:style w:type="paragraph" w:styleId="Gwkalewa">
    <w:name w:val="Główka lewa"/>
    <w:basedOn w:val="Header"/>
    <w:qFormat/>
    <w:pPr>
      <w:suppressLineNumbers/>
      <w:tabs>
        <w:tab w:val="clear" w:pos="4536"/>
        <w:tab w:val="clear" w:pos="9072"/>
        <w:tab w:val="center" w:pos="4479" w:leader="none"/>
        <w:tab w:val="right" w:pos="8958" w:leader="none"/>
      </w:tabs>
    </w:pPr>
    <w:rPr/>
  </w:style>
  <w:style w:type="paragraph" w:styleId="ListParagraph">
    <w:name w:val="List Paragraph"/>
    <w:basedOn w:val="Normal"/>
    <w:qFormat/>
    <w:pPr>
      <w:numPr>
        <w:ilvl w:val="0"/>
        <w:numId w:val="0"/>
      </w:numPr>
      <w:ind w:hanging="0" w:start="720" w:end="0"/>
    </w:pPr>
    <w:rPr/>
  </w:style>
  <w:style w:type="paragraph" w:styleId="Standard">
    <w:name w:val="Standard"/>
    <w:qFormat/>
    <w:pPr>
      <w:widowControl/>
      <w:suppressAutoHyphens w:val="true"/>
      <w:bidi w:val="0"/>
      <w:spacing w:lineRule="auto" w:line="240" w:before="0" w:after="0"/>
      <w:jc w:val="start"/>
      <w:textAlignment w:val="baseline"/>
    </w:pPr>
    <w:rPr>
      <w:rFonts w:ascii="Liberation Serif;Times New Roman" w:hAnsi="Liberation Serif;Times New Roman" w:eastAsia="NSimSun" w:cs="Arial"/>
      <w:color w:val="auto"/>
      <w:kern w:val="2"/>
      <w:sz w:val="24"/>
      <w:szCs w:val="24"/>
      <w:lang w:val="pl-PL" w:eastAsia="zh-CN" w:bidi="hi-IN"/>
    </w:rPr>
  </w:style>
  <w:style w:type="paragraph" w:styleId="TOC1">
    <w:name w:val="TOC 1"/>
    <w:basedOn w:val="Normal"/>
    <w:next w:val="Normal"/>
    <w:pPr>
      <w:suppressAutoHyphens w:val="false"/>
      <w:spacing w:before="120" w:after="120"/>
      <w:textAlignment w:val="auto"/>
    </w:pPr>
    <w:rPr>
      <w:rFonts w:ascii="Calibri" w:hAnsi="Calibri" w:cs="Calibri"/>
      <w:b/>
      <w:bCs/>
      <w:caps/>
      <w:sz w:val="20"/>
      <w:szCs w:val="20"/>
    </w:rPr>
  </w:style>
  <w:style w:type="paragraph" w:styleId="TOC2">
    <w:name w:val="TOC 2"/>
    <w:basedOn w:val="Normal"/>
    <w:next w:val="Normal"/>
    <w:pPr>
      <w:suppressAutoHyphens w:val="false"/>
      <w:spacing w:before="0" w:after="0"/>
      <w:ind w:hanging="0" w:start="220" w:end="0"/>
      <w:textAlignment w:val="auto"/>
    </w:pPr>
    <w:rPr>
      <w:rFonts w:ascii="Calibri" w:hAnsi="Calibri" w:cs="Calibri"/>
      <w:smallCaps/>
      <w:sz w:val="20"/>
      <w:szCs w:val="20"/>
    </w:rPr>
  </w:style>
  <w:style w:type="paragraph" w:styleId="TB1">
    <w:name w:val="TB 1"/>
    <w:basedOn w:val="Heading1"/>
    <w:qFormat/>
    <w:pPr>
      <w:spacing w:before="120" w:after="120"/>
      <w:outlineLvl w:val="9"/>
    </w:pPr>
    <w:rPr>
      <w:b/>
      <w:bCs w:val="false"/>
      <w:sz w:val="24"/>
      <w:szCs w:val="32"/>
    </w:rPr>
  </w:style>
  <w:style w:type="paragraph" w:styleId="TB11">
    <w:name w:val="TB 1.1"/>
    <w:basedOn w:val="Normal"/>
    <w:qFormat/>
    <w:pPr>
      <w:tabs>
        <w:tab w:val="clear" w:pos="708"/>
        <w:tab w:val="left" w:pos="567" w:leader="none"/>
      </w:tabs>
      <w:suppressAutoHyphens w:val="false"/>
      <w:spacing w:before="0" w:after="0"/>
      <w:textAlignment w:val="auto"/>
    </w:pPr>
    <w:rPr>
      <w:b/>
      <w:sz w:val="24"/>
      <w:szCs w:val="32"/>
    </w:rPr>
  </w:style>
  <w:style w:type="numbering" w:styleId="WW8Num1">
    <w:name w:val="WW8Num1"/>
    <w:qFormat/>
  </w:style>
  <w:style w:type="numbering" w:styleId="WW8Num2">
    <w:name w:val="WW8Num2"/>
    <w:qFormat/>
  </w:style>
  <w:style w:type="numbering" w:styleId="WW8Num3">
    <w:name w:val="WW8Num3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header" Target="header1.xml"/><Relationship Id="rId6" Type="http://schemas.openxmlformats.org/officeDocument/2006/relationships/header" Target="header2.xml"/><Relationship Id="rId7" Type="http://schemas.openxmlformats.org/officeDocument/2006/relationships/footer" Target="footer1.xml"/><Relationship Id="rId8" Type="http://schemas.openxmlformats.org/officeDocument/2006/relationships/footer" Target="footer2.xml"/><Relationship Id="rId9" Type="http://schemas.openxmlformats.org/officeDocument/2006/relationships/numbering" Target="numbering.xml"/><Relationship Id="rId10" Type="http://schemas.openxmlformats.org/officeDocument/2006/relationships/fontTable" Target="fontTable.xml"/><Relationship Id="rId11" Type="http://schemas.openxmlformats.org/officeDocument/2006/relationships/settings" Target="settings.xml"/><Relationship Id="rId12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hyperlink" Target="mailto:wokasz@wp.pl" TargetMode="Externa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 pitchFamily="0" charset="1"/>
        <a:ea typeface="DejaVu Sans" pitchFamily="0" charset="1"/>
        <a:cs typeface="DejaVu Sans" pitchFamily="0" charset="1"/>
      </a:majorFont>
      <a:minorFont>
        <a:latin typeface="Arial" pitchFamily="0" charset="1"/>
        <a:ea typeface="DejaVu Sans" pitchFamily="0" charset="1"/>
        <a:cs typeface="DejaVu Sans" pitchFamily="0" charset="1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Normal_x005F_x0000_</Template>
  <TotalTime>19973</TotalTime>
  <Application>LibreOffice/7.6.2.1$Windows_X86_64 LibreOffice_project/56f7684011345957bbf33a7ee678afaf4d2ba333</Application>
  <AppVersion>15.0000</AppVersion>
  <Pages>13</Pages>
  <Words>2560</Words>
  <Characters>17110</Characters>
  <CharactersWithSpaces>19644</CharactersWithSpaces>
  <Paragraphs>242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2017-12-10T14:22:00Z</dcterms:created>
  <dc:creator>LUCAS</dc:creator>
  <dc:description/>
  <dc:language>pl-PL</dc:language>
  <cp:lastModifiedBy/>
  <cp:lastPrinted>2025-11-09T11:34:00Z</cp:lastPrinted>
  <dcterms:modified xsi:type="dcterms:W3CDTF">2026-04-27T20:49:43Z</dcterms:modified>
  <cp:revision>686</cp:revision>
  <dc:subject/>
  <dc:title>PROJEKT BUDOWLANY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